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D0" w:rsidRDefault="00D63A3D" w:rsidP="00FC2317">
      <w:pPr>
        <w:jc w:val="center"/>
        <w:rPr>
          <w:b/>
          <w:sz w:val="32"/>
          <w:szCs w:val="32"/>
        </w:rPr>
      </w:pPr>
      <w:bookmarkStart w:id="0" w:name="_GoBack"/>
      <w:bookmarkEnd w:id="0"/>
      <w:proofErr w:type="gramStart"/>
      <w:r>
        <w:rPr>
          <w:b/>
          <w:sz w:val="32"/>
          <w:szCs w:val="32"/>
        </w:rPr>
        <w:t>CTTE Online Ed.D.</w:t>
      </w:r>
      <w:proofErr w:type="gramEnd"/>
      <w:r>
        <w:rPr>
          <w:b/>
          <w:sz w:val="32"/>
          <w:szCs w:val="32"/>
        </w:rPr>
        <w:t xml:space="preserve"> Program’s Admission</w:t>
      </w:r>
      <w:r w:rsidRPr="00754C5C">
        <w:rPr>
          <w:b/>
          <w:sz w:val="32"/>
          <w:szCs w:val="32"/>
        </w:rPr>
        <w:t xml:space="preserve"> </w:t>
      </w:r>
      <w:r>
        <w:rPr>
          <w:b/>
          <w:sz w:val="32"/>
          <w:szCs w:val="32"/>
        </w:rPr>
        <w:t>I</w:t>
      </w:r>
      <w:r w:rsidRPr="00754C5C">
        <w:rPr>
          <w:b/>
          <w:sz w:val="32"/>
          <w:szCs w:val="32"/>
        </w:rPr>
        <w:t>nstructions</w:t>
      </w:r>
    </w:p>
    <w:p w:rsidR="00FC2317" w:rsidRPr="00754C5C" w:rsidRDefault="00FC2317" w:rsidP="00FC2317">
      <w:pPr>
        <w:jc w:val="center"/>
        <w:rPr>
          <w:b/>
          <w:sz w:val="32"/>
          <w:szCs w:val="32"/>
        </w:rPr>
      </w:pPr>
      <w:r>
        <w:rPr>
          <w:b/>
          <w:sz w:val="32"/>
          <w:szCs w:val="32"/>
        </w:rPr>
        <w:t>Directions for Applicants with no prior GRADUATE degrees from UF</w:t>
      </w:r>
    </w:p>
    <w:p w:rsidR="00FC2317" w:rsidRPr="00907D97" w:rsidRDefault="00FC2317" w:rsidP="00FC2317">
      <w:pPr>
        <w:jc w:val="center"/>
        <w:rPr>
          <w:b/>
        </w:rPr>
      </w:pPr>
    </w:p>
    <w:p w:rsidR="00FC2317" w:rsidRPr="00907D97" w:rsidRDefault="00FC2317" w:rsidP="00FC2317">
      <w:pPr>
        <w:pBdr>
          <w:top w:val="single" w:sz="4" w:space="1" w:color="auto"/>
          <w:left w:val="single" w:sz="4" w:space="4" w:color="auto"/>
          <w:bottom w:val="single" w:sz="4" w:space="1" w:color="auto"/>
          <w:right w:val="single" w:sz="4" w:space="4" w:color="auto"/>
        </w:pBdr>
        <w:jc w:val="center"/>
        <w:rPr>
          <w:b/>
        </w:rPr>
      </w:pPr>
      <w:r w:rsidRPr="00907D97">
        <w:rPr>
          <w:b/>
        </w:rPr>
        <w:t>DEAD</w:t>
      </w:r>
      <w:r w:rsidR="00D63A3D">
        <w:rPr>
          <w:b/>
        </w:rPr>
        <w:t>LINE TO HAVE ALL MATERIALS IN</w:t>
      </w:r>
    </w:p>
    <w:p w:rsidR="00FC2317" w:rsidRPr="00907D97" w:rsidRDefault="00D63A3D" w:rsidP="00FC2317">
      <w:pPr>
        <w:pBdr>
          <w:top w:val="single" w:sz="4" w:space="1" w:color="auto"/>
          <w:left w:val="single" w:sz="4" w:space="4" w:color="auto"/>
          <w:bottom w:val="single" w:sz="4" w:space="1" w:color="auto"/>
          <w:right w:val="single" w:sz="4" w:space="4" w:color="auto"/>
        </w:pBdr>
        <w:jc w:val="center"/>
        <w:rPr>
          <w:b/>
        </w:rPr>
      </w:pPr>
      <w:r w:rsidRPr="00D63A3D">
        <w:t xml:space="preserve">To apply for </w:t>
      </w:r>
      <w:proofErr w:type="gramStart"/>
      <w:r w:rsidRPr="00D63A3D">
        <w:t>Summer</w:t>
      </w:r>
      <w:proofErr w:type="gramEnd"/>
      <w:r w:rsidRPr="00D63A3D">
        <w:t xml:space="preserve"> </w:t>
      </w:r>
      <w:r w:rsidR="000F4B0F">
        <w:t>2014</w:t>
      </w:r>
      <w:r w:rsidR="00FC2317" w:rsidRPr="00D63A3D">
        <w:t>:</w:t>
      </w:r>
      <w:r w:rsidR="00FC2317" w:rsidRPr="00907D97">
        <w:rPr>
          <w:b/>
        </w:rPr>
        <w:t xml:space="preserve"> </w:t>
      </w:r>
      <w:r w:rsidRPr="00D63A3D">
        <w:rPr>
          <w:b/>
          <w:sz w:val="28"/>
        </w:rPr>
        <w:t xml:space="preserve">December </w:t>
      </w:r>
      <w:r w:rsidR="00F9699D">
        <w:rPr>
          <w:b/>
          <w:sz w:val="28"/>
        </w:rPr>
        <w:t>6</w:t>
      </w:r>
      <w:r w:rsidRPr="00D63A3D">
        <w:rPr>
          <w:b/>
          <w:sz w:val="28"/>
        </w:rPr>
        <w:t>, 201</w:t>
      </w:r>
      <w:r w:rsidR="000F4B0F">
        <w:rPr>
          <w:b/>
          <w:sz w:val="28"/>
        </w:rPr>
        <w:t>3</w:t>
      </w:r>
    </w:p>
    <w:p w:rsidR="00FC2317" w:rsidRDefault="00FC2317"/>
    <w:p w:rsidR="00FC2317" w:rsidRPr="00023A15" w:rsidRDefault="00FC2317">
      <w:pPr>
        <w:numPr>
          <w:ilvl w:val="0"/>
          <w:numId w:val="6"/>
        </w:numPr>
        <w:rPr>
          <w:sz w:val="22"/>
        </w:rPr>
      </w:pPr>
      <w:r w:rsidRPr="00C76A43">
        <w:rPr>
          <w:i/>
          <w:sz w:val="22"/>
          <w:u w:val="single"/>
        </w:rPr>
        <w:t xml:space="preserve">For students who have never been to UF: </w:t>
      </w:r>
      <w:hyperlink r:id="rId5" w:history="1">
        <w:r w:rsidRPr="00BA6B1A">
          <w:rPr>
            <w:rStyle w:val="Hyperlink"/>
            <w:sz w:val="22"/>
          </w:rPr>
          <w:t>https://www.isis.ufl.edu/</w:t>
        </w:r>
        <w:r w:rsidRPr="00BA6B1A">
          <w:rPr>
            <w:rStyle w:val="Hyperlink"/>
            <w:sz w:val="22"/>
          </w:rPr>
          <w:t>c</w:t>
        </w:r>
        <w:r w:rsidRPr="00BA6B1A">
          <w:rPr>
            <w:rStyle w:val="Hyperlink"/>
            <w:sz w:val="22"/>
          </w:rPr>
          <w:t>gi-bin/eaglec?page=iga-intro</w:t>
        </w:r>
      </w:hyperlink>
      <w:r>
        <w:rPr>
          <w:sz w:val="22"/>
        </w:rPr>
        <w:br/>
      </w:r>
    </w:p>
    <w:p w:rsidR="00FC2317" w:rsidRPr="00C76A43" w:rsidRDefault="00FC2317">
      <w:pPr>
        <w:rPr>
          <w:b/>
          <w:sz w:val="22"/>
        </w:rPr>
      </w:pPr>
      <w:r w:rsidRPr="00C76A43">
        <w:rPr>
          <w:b/>
          <w:sz w:val="22"/>
        </w:rPr>
        <w:t>To access the UF Graduate School’s online admission application,</w:t>
      </w:r>
    </w:p>
    <w:p w:rsidR="00FC2317" w:rsidRPr="00C76A43" w:rsidRDefault="00FC2317">
      <w:pPr>
        <w:rPr>
          <w:sz w:val="22"/>
        </w:rPr>
      </w:pPr>
    </w:p>
    <w:p w:rsidR="00FC2317" w:rsidRPr="00C76A43" w:rsidRDefault="00FC2317" w:rsidP="00FC2317">
      <w:pPr>
        <w:numPr>
          <w:ilvl w:val="0"/>
          <w:numId w:val="6"/>
        </w:numPr>
        <w:rPr>
          <w:sz w:val="22"/>
        </w:rPr>
      </w:pPr>
      <w:r w:rsidRPr="00C76A43">
        <w:rPr>
          <w:sz w:val="22"/>
        </w:rPr>
        <w:t>Click on the Graduate section</w:t>
      </w:r>
    </w:p>
    <w:p w:rsidR="00FC2317" w:rsidRPr="00C76A43" w:rsidRDefault="00FC2317" w:rsidP="00FC2317">
      <w:pPr>
        <w:numPr>
          <w:ilvl w:val="0"/>
          <w:numId w:val="6"/>
        </w:numPr>
        <w:rPr>
          <w:sz w:val="22"/>
        </w:rPr>
      </w:pPr>
      <w:r w:rsidRPr="00C76A43">
        <w:rPr>
          <w:sz w:val="22"/>
        </w:rPr>
        <w:t>Click on Apply—New Application to access the online application</w:t>
      </w:r>
    </w:p>
    <w:p w:rsidR="00FC2317" w:rsidRPr="00C76A43" w:rsidRDefault="00FC2317">
      <w:pPr>
        <w:rPr>
          <w:sz w:val="22"/>
        </w:rPr>
      </w:pPr>
    </w:p>
    <w:p w:rsidR="00FC2317" w:rsidRPr="00C76A43" w:rsidRDefault="00FC2317">
      <w:pPr>
        <w:rPr>
          <w:sz w:val="22"/>
          <w:szCs w:val="22"/>
        </w:rPr>
      </w:pPr>
      <w:r w:rsidRPr="00C76A43">
        <w:rPr>
          <w:sz w:val="22"/>
          <w:szCs w:val="22"/>
        </w:rPr>
        <w:t>Section One:  Fill it all in.</w:t>
      </w:r>
    </w:p>
    <w:p w:rsidR="00FC2317" w:rsidRPr="00C76A43" w:rsidRDefault="00FC2317">
      <w:pPr>
        <w:rPr>
          <w:sz w:val="22"/>
          <w:szCs w:val="22"/>
        </w:rPr>
      </w:pPr>
      <w:r w:rsidRPr="00C76A43">
        <w:rPr>
          <w:sz w:val="22"/>
          <w:szCs w:val="22"/>
        </w:rPr>
        <w:t xml:space="preserve">Section Two: </w:t>
      </w:r>
    </w:p>
    <w:p w:rsidR="00FC2317" w:rsidRPr="00C76A43" w:rsidRDefault="00FC2317" w:rsidP="00FC2317">
      <w:pPr>
        <w:numPr>
          <w:ilvl w:val="0"/>
          <w:numId w:val="1"/>
        </w:numPr>
        <w:rPr>
          <w:sz w:val="22"/>
          <w:szCs w:val="22"/>
        </w:rPr>
      </w:pPr>
      <w:r w:rsidRPr="00C76A43">
        <w:rPr>
          <w:sz w:val="22"/>
          <w:szCs w:val="22"/>
        </w:rPr>
        <w:t xml:space="preserve">Answer no to everything except “distance </w:t>
      </w:r>
      <w:r w:rsidR="000F4B0F">
        <w:rPr>
          <w:sz w:val="22"/>
          <w:szCs w:val="22"/>
        </w:rPr>
        <w:t>l</w:t>
      </w:r>
      <w:r w:rsidRPr="00C76A43">
        <w:rPr>
          <w:sz w:val="22"/>
          <w:szCs w:val="22"/>
        </w:rPr>
        <w:t>earning program” which is “YES”.</w:t>
      </w:r>
    </w:p>
    <w:p w:rsidR="00FC2317" w:rsidRPr="00C76A43" w:rsidRDefault="00FC2317" w:rsidP="00FC2317">
      <w:pPr>
        <w:numPr>
          <w:ilvl w:val="0"/>
          <w:numId w:val="1"/>
        </w:numPr>
        <w:rPr>
          <w:sz w:val="22"/>
        </w:rPr>
      </w:pPr>
      <w:r w:rsidRPr="00C76A43">
        <w:rPr>
          <w:sz w:val="22"/>
          <w:szCs w:val="22"/>
        </w:rPr>
        <w:t>Enter in PhD as the desired degree (</w:t>
      </w:r>
      <w:r w:rsidRPr="00C76A43">
        <w:rPr>
          <w:sz w:val="22"/>
        </w:rPr>
        <w:t xml:space="preserve">The Ed.D. is an Education-specific degree so it does not appear on the university-wide application so you must select PhD.  It is very important that you clearly articulate your Ed.D. </w:t>
      </w:r>
      <w:proofErr w:type="gramStart"/>
      <w:r w:rsidRPr="00C76A43">
        <w:rPr>
          <w:sz w:val="22"/>
        </w:rPr>
        <w:t>intent</w:t>
      </w:r>
      <w:proofErr w:type="gramEnd"/>
      <w:r w:rsidRPr="00C76A43">
        <w:rPr>
          <w:sz w:val="22"/>
        </w:rPr>
        <w:t xml:space="preserve"> within your purpose statement.. Our Admissions staff will ensure the application is reviewed for the correct degree.)</w:t>
      </w:r>
    </w:p>
    <w:p w:rsidR="00FC2317" w:rsidRPr="00C76A43" w:rsidRDefault="00D63A3D" w:rsidP="00FC2317">
      <w:pPr>
        <w:numPr>
          <w:ilvl w:val="0"/>
          <w:numId w:val="1"/>
        </w:numPr>
        <w:rPr>
          <w:sz w:val="22"/>
          <w:szCs w:val="22"/>
        </w:rPr>
      </w:pPr>
      <w:r>
        <w:rPr>
          <w:sz w:val="22"/>
          <w:szCs w:val="22"/>
        </w:rPr>
        <w:t>Enter “Summer 1</w:t>
      </w:r>
      <w:r w:rsidR="000F4B0F">
        <w:rPr>
          <w:sz w:val="22"/>
          <w:szCs w:val="22"/>
        </w:rPr>
        <w:t>4</w:t>
      </w:r>
      <w:r w:rsidR="00FC2317" w:rsidRPr="00C76A43">
        <w:rPr>
          <w:sz w:val="22"/>
          <w:szCs w:val="22"/>
        </w:rPr>
        <w:t xml:space="preserve">” for entry term </w:t>
      </w:r>
    </w:p>
    <w:p w:rsidR="00FC2317" w:rsidRPr="00C76A43" w:rsidRDefault="00FC2317" w:rsidP="00FC2317">
      <w:pPr>
        <w:numPr>
          <w:ilvl w:val="0"/>
          <w:numId w:val="1"/>
        </w:numPr>
        <w:rPr>
          <w:b/>
          <w:sz w:val="22"/>
          <w:szCs w:val="22"/>
        </w:rPr>
      </w:pPr>
      <w:r w:rsidRPr="00C76A43">
        <w:rPr>
          <w:sz w:val="22"/>
          <w:szCs w:val="22"/>
        </w:rPr>
        <w:t>On the second page of entry, for program of study, choose “</w:t>
      </w:r>
      <w:r w:rsidRPr="00C76A43">
        <w:rPr>
          <w:b/>
          <w:sz w:val="22"/>
          <w:szCs w:val="22"/>
        </w:rPr>
        <w:t>CURRICULUM &amp; INSTRUCTION”</w:t>
      </w:r>
      <w:r w:rsidRPr="00C76A43">
        <w:rPr>
          <w:sz w:val="22"/>
          <w:szCs w:val="22"/>
        </w:rPr>
        <w:t xml:space="preserve"> from the drop down menu.</w:t>
      </w:r>
    </w:p>
    <w:p w:rsidR="00FC2317" w:rsidRPr="00C76A43" w:rsidRDefault="00FC2317" w:rsidP="00FC2317">
      <w:pPr>
        <w:numPr>
          <w:ilvl w:val="0"/>
          <w:numId w:val="1"/>
        </w:numPr>
        <w:rPr>
          <w:sz w:val="22"/>
          <w:szCs w:val="22"/>
        </w:rPr>
      </w:pPr>
      <w:r w:rsidRPr="00C76A43">
        <w:rPr>
          <w:sz w:val="22"/>
          <w:szCs w:val="22"/>
        </w:rPr>
        <w:t xml:space="preserve">For specialization, enter in </w:t>
      </w:r>
      <w:r w:rsidRPr="00C76A43">
        <w:rPr>
          <w:b/>
          <w:sz w:val="22"/>
          <w:szCs w:val="22"/>
        </w:rPr>
        <w:t>CTTE/</w:t>
      </w:r>
      <w:proofErr w:type="spellStart"/>
      <w:r w:rsidRPr="00C76A43">
        <w:rPr>
          <w:b/>
          <w:sz w:val="22"/>
          <w:szCs w:val="22"/>
        </w:rPr>
        <w:t>EdD</w:t>
      </w:r>
      <w:proofErr w:type="spellEnd"/>
    </w:p>
    <w:p w:rsidR="00FC2317" w:rsidRPr="00C76A43" w:rsidRDefault="00FC2317" w:rsidP="00FC2317">
      <w:pPr>
        <w:numPr>
          <w:ilvl w:val="0"/>
          <w:numId w:val="1"/>
        </w:numPr>
        <w:rPr>
          <w:sz w:val="22"/>
          <w:szCs w:val="22"/>
        </w:rPr>
      </w:pPr>
      <w:r w:rsidRPr="00C76A43">
        <w:rPr>
          <w:sz w:val="22"/>
          <w:szCs w:val="22"/>
        </w:rPr>
        <w:t xml:space="preserve">For dept. contact, enter in </w:t>
      </w:r>
      <w:r w:rsidRPr="00C76A43">
        <w:rPr>
          <w:b/>
          <w:sz w:val="22"/>
          <w:szCs w:val="22"/>
        </w:rPr>
        <w:t xml:space="preserve">Dr. </w:t>
      </w:r>
      <w:r w:rsidR="00D63A3D">
        <w:rPr>
          <w:b/>
          <w:sz w:val="22"/>
          <w:szCs w:val="22"/>
        </w:rPr>
        <w:t>Alyson Adams</w:t>
      </w:r>
    </w:p>
    <w:p w:rsidR="00FC2317" w:rsidRPr="00C76A43" w:rsidRDefault="00FC2317" w:rsidP="00FC2317">
      <w:pPr>
        <w:numPr>
          <w:ilvl w:val="0"/>
          <w:numId w:val="1"/>
        </w:numPr>
        <w:rPr>
          <w:sz w:val="22"/>
          <w:szCs w:val="22"/>
        </w:rPr>
      </w:pPr>
      <w:r w:rsidRPr="00C76A43">
        <w:rPr>
          <w:sz w:val="22"/>
          <w:szCs w:val="22"/>
        </w:rPr>
        <w:t xml:space="preserve">On the third page of entry, type in your statement of purpose explaining why this degree would enable you to meet your career goals and how this specific doctoral program in the School of Teaching and Learning at UF enables you to best reach these goals.  </w:t>
      </w:r>
      <w:r w:rsidRPr="00C76A43">
        <w:rPr>
          <w:sz w:val="22"/>
          <w:szCs w:val="22"/>
        </w:rPr>
        <w:br/>
      </w:r>
      <w:r w:rsidRPr="00C76A43">
        <w:rPr>
          <w:b/>
          <w:sz w:val="22"/>
          <w:szCs w:val="22"/>
        </w:rPr>
        <w:t>NOTE 1:</w:t>
      </w:r>
      <w:r w:rsidRPr="00C76A43">
        <w:rPr>
          <w:sz w:val="22"/>
          <w:szCs w:val="22"/>
        </w:rPr>
        <w:t xml:space="preserve"> You can only enter in 1.5 pages of text into the online application.  If your statement of purpose is longer, please submit your statement of purpose (along with the other materials) to the School of Teaching and Learning.  If you do elect to do this, enter “Please see attached document in the space on the online application.  </w:t>
      </w:r>
      <w:r w:rsidRPr="00C76A43">
        <w:rPr>
          <w:sz w:val="22"/>
          <w:szCs w:val="22"/>
        </w:rPr>
        <w:br/>
      </w:r>
      <w:r w:rsidRPr="00C76A43">
        <w:rPr>
          <w:b/>
          <w:sz w:val="22"/>
          <w:szCs w:val="22"/>
        </w:rPr>
        <w:t xml:space="preserve">NOTE 2:  </w:t>
      </w:r>
      <w:r w:rsidRPr="00C76A43">
        <w:rPr>
          <w:sz w:val="22"/>
          <w:szCs w:val="22"/>
        </w:rPr>
        <w:t xml:space="preserve">This will </w:t>
      </w:r>
      <w:r>
        <w:rPr>
          <w:sz w:val="22"/>
          <w:szCs w:val="22"/>
        </w:rPr>
        <w:t>be considered as part of the application criteria</w:t>
      </w:r>
      <w:r w:rsidRPr="00C76A43">
        <w:rPr>
          <w:sz w:val="22"/>
          <w:szCs w:val="22"/>
        </w:rPr>
        <w:t>, so give it some thought and editing!</w:t>
      </w:r>
    </w:p>
    <w:p w:rsidR="00FC2317" w:rsidRPr="00C76A43" w:rsidRDefault="00FC2317" w:rsidP="00FC2317">
      <w:pPr>
        <w:rPr>
          <w:sz w:val="22"/>
          <w:szCs w:val="22"/>
        </w:rPr>
      </w:pPr>
      <w:r w:rsidRPr="00C76A43">
        <w:rPr>
          <w:sz w:val="22"/>
          <w:szCs w:val="22"/>
        </w:rPr>
        <w:t>Section Three:</w:t>
      </w:r>
    </w:p>
    <w:p w:rsidR="00FC2317" w:rsidRPr="00C76A43" w:rsidRDefault="00FC2317" w:rsidP="00FC2317">
      <w:pPr>
        <w:numPr>
          <w:ilvl w:val="0"/>
          <w:numId w:val="3"/>
        </w:numPr>
        <w:rPr>
          <w:sz w:val="22"/>
          <w:szCs w:val="22"/>
        </w:rPr>
      </w:pPr>
      <w:r w:rsidRPr="00C76A43">
        <w:rPr>
          <w:sz w:val="22"/>
          <w:szCs w:val="22"/>
        </w:rPr>
        <w:t>Enter previous college experiences</w:t>
      </w:r>
    </w:p>
    <w:p w:rsidR="00FC2317" w:rsidRPr="00C76A43" w:rsidRDefault="00FC2317" w:rsidP="00FC2317">
      <w:pPr>
        <w:numPr>
          <w:ilvl w:val="0"/>
          <w:numId w:val="3"/>
        </w:numPr>
        <w:rPr>
          <w:sz w:val="22"/>
          <w:szCs w:val="22"/>
        </w:rPr>
      </w:pPr>
      <w:r w:rsidRPr="00C76A43">
        <w:rPr>
          <w:sz w:val="22"/>
          <w:szCs w:val="22"/>
        </w:rPr>
        <w:t>Accurately calculate GPA for junior and senior year of undergrad – last 60 hours of your undergrad (try to be accurate)</w:t>
      </w:r>
    </w:p>
    <w:p w:rsidR="00FC2317" w:rsidRPr="00C76A43" w:rsidRDefault="00FC2317" w:rsidP="00FC2317">
      <w:pPr>
        <w:numPr>
          <w:ilvl w:val="0"/>
          <w:numId w:val="3"/>
        </w:numPr>
        <w:rPr>
          <w:sz w:val="22"/>
          <w:szCs w:val="22"/>
        </w:rPr>
      </w:pPr>
      <w:r w:rsidRPr="00C76A43">
        <w:rPr>
          <w:sz w:val="22"/>
          <w:szCs w:val="22"/>
        </w:rPr>
        <w:t>Enter when you plan to take [or took] the GRE exam.  If you have your scores, enter them.</w:t>
      </w:r>
    </w:p>
    <w:p w:rsidR="00FC2317" w:rsidRPr="00C76A43" w:rsidRDefault="00FC2317" w:rsidP="00FC2317">
      <w:pPr>
        <w:numPr>
          <w:ilvl w:val="0"/>
          <w:numId w:val="3"/>
        </w:numPr>
        <w:rPr>
          <w:sz w:val="22"/>
          <w:szCs w:val="22"/>
        </w:rPr>
      </w:pPr>
      <w:r w:rsidRPr="00C76A43">
        <w:rPr>
          <w:sz w:val="22"/>
          <w:szCs w:val="22"/>
        </w:rPr>
        <w:t>For activities, briefly list jobs you’ve had since graduation until now. You can be brief.</w:t>
      </w:r>
    </w:p>
    <w:p w:rsidR="00FC2317" w:rsidRPr="00C76A43" w:rsidRDefault="00FC2317" w:rsidP="00FC2317">
      <w:pPr>
        <w:rPr>
          <w:sz w:val="22"/>
          <w:szCs w:val="22"/>
        </w:rPr>
      </w:pPr>
      <w:r w:rsidRPr="00C76A43">
        <w:rPr>
          <w:sz w:val="22"/>
          <w:szCs w:val="22"/>
        </w:rPr>
        <w:t>Section Four:</w:t>
      </w:r>
    </w:p>
    <w:p w:rsidR="00FC2317" w:rsidRPr="00C76A43" w:rsidRDefault="00FC2317" w:rsidP="00FC2317">
      <w:pPr>
        <w:numPr>
          <w:ilvl w:val="0"/>
          <w:numId w:val="4"/>
        </w:numPr>
        <w:rPr>
          <w:sz w:val="22"/>
          <w:szCs w:val="22"/>
        </w:rPr>
      </w:pPr>
      <w:r w:rsidRPr="00C76A43">
        <w:rPr>
          <w:sz w:val="22"/>
          <w:szCs w:val="22"/>
        </w:rPr>
        <w:t xml:space="preserve">Be ready with Driver’s License, Voter’s registration, car registration (if you have one). You need 2 forms of proof with dates that are </w:t>
      </w:r>
      <w:r w:rsidRPr="00C76A43">
        <w:rPr>
          <w:b/>
          <w:sz w:val="22"/>
          <w:szCs w:val="22"/>
        </w:rPr>
        <w:t>at least 12 months old</w:t>
      </w:r>
      <w:r w:rsidRPr="00C76A43">
        <w:rPr>
          <w:sz w:val="22"/>
          <w:szCs w:val="22"/>
        </w:rPr>
        <w:t xml:space="preserve">. </w:t>
      </w:r>
    </w:p>
    <w:p w:rsidR="00FC2317" w:rsidRDefault="00FC2317" w:rsidP="00FC2317">
      <w:pPr>
        <w:numPr>
          <w:ilvl w:val="0"/>
          <w:numId w:val="4"/>
        </w:numPr>
        <w:rPr>
          <w:sz w:val="22"/>
          <w:szCs w:val="22"/>
        </w:rPr>
      </w:pPr>
      <w:r w:rsidRPr="00C76A43">
        <w:rPr>
          <w:sz w:val="22"/>
          <w:szCs w:val="22"/>
        </w:rPr>
        <w:t>If you aren’t a</w:t>
      </w:r>
      <w:r w:rsidR="001F0FD0">
        <w:rPr>
          <w:sz w:val="22"/>
          <w:szCs w:val="22"/>
        </w:rPr>
        <w:t>n official</w:t>
      </w:r>
      <w:r w:rsidRPr="00C76A43">
        <w:rPr>
          <w:sz w:val="22"/>
          <w:szCs w:val="22"/>
        </w:rPr>
        <w:t xml:space="preserve"> Florida resident</w:t>
      </w:r>
      <w:r w:rsidR="00496D2D">
        <w:rPr>
          <w:sz w:val="22"/>
          <w:szCs w:val="22"/>
        </w:rPr>
        <w:t xml:space="preserve"> but live in Florida</w:t>
      </w:r>
      <w:r w:rsidRPr="00C76A43">
        <w:rPr>
          <w:sz w:val="22"/>
          <w:szCs w:val="22"/>
        </w:rPr>
        <w:t xml:space="preserve">, you can still claim residency because you are a teacher (see section H) and you will have to submit a copy of your teaching contract as proof. A letter from your school principal will also work, with your date of hire. </w:t>
      </w:r>
    </w:p>
    <w:p w:rsidR="00496D2D" w:rsidRPr="00C76A43" w:rsidRDefault="00496D2D" w:rsidP="00FC2317">
      <w:pPr>
        <w:numPr>
          <w:ilvl w:val="0"/>
          <w:numId w:val="4"/>
        </w:numPr>
        <w:rPr>
          <w:sz w:val="22"/>
          <w:szCs w:val="22"/>
        </w:rPr>
      </w:pPr>
      <w:r>
        <w:rPr>
          <w:sz w:val="22"/>
          <w:szCs w:val="22"/>
        </w:rPr>
        <w:t>If you aren’t a Florida resident, please follow the directions for non-Florida residents.</w:t>
      </w:r>
    </w:p>
    <w:p w:rsidR="00FC2317" w:rsidRPr="00C76A43" w:rsidRDefault="00FC2317" w:rsidP="00FC2317">
      <w:pPr>
        <w:rPr>
          <w:sz w:val="22"/>
          <w:szCs w:val="22"/>
        </w:rPr>
      </w:pPr>
      <w:r w:rsidRPr="00C76A43">
        <w:rPr>
          <w:sz w:val="22"/>
          <w:szCs w:val="22"/>
        </w:rPr>
        <w:t>Section Five:</w:t>
      </w:r>
    </w:p>
    <w:p w:rsidR="00FC2317" w:rsidRPr="00C76A43" w:rsidRDefault="00FC2317">
      <w:pPr>
        <w:numPr>
          <w:ilvl w:val="0"/>
          <w:numId w:val="5"/>
        </w:numPr>
        <w:rPr>
          <w:sz w:val="22"/>
          <w:szCs w:val="22"/>
        </w:rPr>
      </w:pPr>
      <w:r w:rsidRPr="00C76A43">
        <w:rPr>
          <w:sz w:val="22"/>
          <w:szCs w:val="22"/>
        </w:rPr>
        <w:t xml:space="preserve">Be ready with names, emails, and phone numbers of 3 people who will do electronic letters of reference for you. </w:t>
      </w:r>
      <w:r>
        <w:rPr>
          <w:sz w:val="22"/>
          <w:szCs w:val="22"/>
        </w:rPr>
        <w:t xml:space="preserve">Whenever possible provide letters from faculty members at institutions of higher </w:t>
      </w:r>
      <w:r>
        <w:rPr>
          <w:sz w:val="22"/>
          <w:szCs w:val="22"/>
        </w:rPr>
        <w:lastRenderedPageBreak/>
        <w:t xml:space="preserve">education.) All letters should focus on your academic potential. </w:t>
      </w:r>
      <w:r w:rsidRPr="00C76A43">
        <w:rPr>
          <w:sz w:val="22"/>
          <w:szCs w:val="22"/>
        </w:rPr>
        <w:t>(</w:t>
      </w:r>
      <w:proofErr w:type="gramStart"/>
      <w:r w:rsidRPr="00C76A43">
        <w:rPr>
          <w:sz w:val="22"/>
          <w:szCs w:val="22"/>
        </w:rPr>
        <w:t>e.g</w:t>
      </w:r>
      <w:proofErr w:type="gramEnd"/>
      <w:r>
        <w:rPr>
          <w:sz w:val="22"/>
          <w:szCs w:val="22"/>
        </w:rPr>
        <w:t>.</w:t>
      </w:r>
      <w:r w:rsidRPr="00C76A43">
        <w:rPr>
          <w:sz w:val="22"/>
          <w:szCs w:val="22"/>
        </w:rPr>
        <w:t xml:space="preserve"> capacity in scholarship, and thinking). The preferred references will be from </w:t>
      </w:r>
      <w:proofErr w:type="gramStart"/>
      <w:r w:rsidRPr="00C76A43">
        <w:rPr>
          <w:sz w:val="22"/>
          <w:szCs w:val="22"/>
        </w:rPr>
        <w:t>faculty who have</w:t>
      </w:r>
      <w:proofErr w:type="gramEnd"/>
      <w:r w:rsidRPr="00C76A43">
        <w:rPr>
          <w:sz w:val="22"/>
          <w:szCs w:val="22"/>
        </w:rPr>
        <w:t xml:space="preserve"> taught you.</w:t>
      </w:r>
      <w:r w:rsidR="00903F1E" w:rsidRPr="00903F1E">
        <w:rPr>
          <w:sz w:val="22"/>
          <w:szCs w:val="22"/>
        </w:rPr>
        <w:pict>
          <v:rect id="_x0000_i1025" style="width:0;height:1.5pt" o:hralign="center" o:hrstd="t" o:hr="t" fillcolor="#aca899" stroked="f"/>
        </w:pict>
      </w:r>
    </w:p>
    <w:p w:rsidR="00FC2317" w:rsidRPr="00C76A43" w:rsidRDefault="00FC2317">
      <w:pPr>
        <w:rPr>
          <w:b/>
          <w:sz w:val="22"/>
          <w:szCs w:val="22"/>
        </w:rPr>
      </w:pPr>
      <w:r w:rsidRPr="00C76A43">
        <w:rPr>
          <w:b/>
          <w:sz w:val="22"/>
          <w:szCs w:val="22"/>
        </w:rPr>
        <w:t>Other Admission Requirements for the CTTE Online Ed.D. program (to be sent to the School of Teaching and Learning</w:t>
      </w:r>
      <w:r>
        <w:rPr>
          <w:b/>
          <w:sz w:val="22"/>
          <w:szCs w:val="22"/>
        </w:rPr>
        <w:t xml:space="preserve"> – address below</w:t>
      </w:r>
      <w:r w:rsidRPr="00C76A43">
        <w:rPr>
          <w:b/>
          <w:sz w:val="22"/>
          <w:szCs w:val="22"/>
        </w:rPr>
        <w:t>)</w:t>
      </w:r>
    </w:p>
    <w:p w:rsidR="00FC2317" w:rsidRPr="00C76A43" w:rsidRDefault="00FC2317" w:rsidP="00FC2317">
      <w:pPr>
        <w:numPr>
          <w:ilvl w:val="0"/>
          <w:numId w:val="7"/>
        </w:numPr>
        <w:rPr>
          <w:sz w:val="22"/>
          <w:szCs w:val="22"/>
        </w:rPr>
      </w:pPr>
      <w:r w:rsidRPr="00C76A43">
        <w:rPr>
          <w:sz w:val="22"/>
          <w:szCs w:val="22"/>
        </w:rPr>
        <w:t>Essay on assigned topic</w:t>
      </w:r>
      <w:r w:rsidR="00F9699D">
        <w:rPr>
          <w:sz w:val="22"/>
          <w:szCs w:val="22"/>
        </w:rPr>
        <w:t xml:space="preserve"> (see website)</w:t>
      </w:r>
    </w:p>
    <w:p w:rsidR="00FC2317" w:rsidRPr="00C76A43" w:rsidRDefault="00FC2317" w:rsidP="00FC2317">
      <w:pPr>
        <w:numPr>
          <w:ilvl w:val="0"/>
          <w:numId w:val="7"/>
        </w:numPr>
        <w:rPr>
          <w:sz w:val="22"/>
          <w:szCs w:val="22"/>
        </w:rPr>
      </w:pPr>
      <w:r w:rsidRPr="00C76A43">
        <w:rPr>
          <w:sz w:val="22"/>
          <w:szCs w:val="22"/>
        </w:rPr>
        <w:t>Resume that must include record of 3 years of practical experience and a description of your full-time position as a practicing educator in the K-12 arena</w:t>
      </w:r>
    </w:p>
    <w:p w:rsidR="00FC2317" w:rsidRPr="00C76A43" w:rsidRDefault="00FC2317">
      <w:pPr>
        <w:rPr>
          <w:sz w:val="22"/>
          <w:szCs w:val="22"/>
        </w:rPr>
      </w:pPr>
    </w:p>
    <w:p w:rsidR="00FC2317" w:rsidRPr="00C76A43" w:rsidRDefault="00FC2317">
      <w:pPr>
        <w:rPr>
          <w:sz w:val="22"/>
          <w:szCs w:val="22"/>
        </w:rPr>
      </w:pPr>
      <w:r w:rsidRPr="00C76A43">
        <w:rPr>
          <w:sz w:val="22"/>
          <w:szCs w:val="22"/>
        </w:rPr>
        <w:t>Essay topic: In 2-3 pages, identify one significant problem in education today and explain why it is a problem.  Then provide a description of and rationale for one or two strategies that you believe are promising for addressing the problem.</w:t>
      </w:r>
    </w:p>
    <w:p w:rsidR="00FC2317" w:rsidRPr="00C76A43" w:rsidRDefault="00FC2317">
      <w:pPr>
        <w:rPr>
          <w:sz w:val="22"/>
          <w:szCs w:val="22"/>
        </w:rPr>
      </w:pPr>
    </w:p>
    <w:p w:rsidR="00FC2317" w:rsidRPr="00C76A43" w:rsidRDefault="00FC2317">
      <w:pPr>
        <w:rPr>
          <w:b/>
          <w:sz w:val="22"/>
          <w:szCs w:val="22"/>
        </w:rPr>
      </w:pPr>
      <w:r w:rsidRPr="00C76A43">
        <w:rPr>
          <w:b/>
          <w:sz w:val="22"/>
          <w:szCs w:val="22"/>
        </w:rPr>
        <w:t>Additional Information:</w:t>
      </w:r>
    </w:p>
    <w:p w:rsidR="00FC2317" w:rsidRPr="00C76A43" w:rsidRDefault="00FC2317">
      <w:pPr>
        <w:rPr>
          <w:sz w:val="22"/>
          <w:szCs w:val="22"/>
        </w:rPr>
      </w:pPr>
    </w:p>
    <w:p w:rsidR="00FC2317" w:rsidRDefault="00FC2317">
      <w:pPr>
        <w:rPr>
          <w:sz w:val="22"/>
          <w:szCs w:val="22"/>
        </w:rPr>
      </w:pPr>
      <w:r w:rsidRPr="00C76A43">
        <w:rPr>
          <w:sz w:val="22"/>
          <w:szCs w:val="22"/>
        </w:rPr>
        <w:t xml:space="preserve">All </w:t>
      </w:r>
      <w:r>
        <w:rPr>
          <w:sz w:val="22"/>
          <w:szCs w:val="22"/>
        </w:rPr>
        <w:t>materials for the School of Teaching and Learning should be sent to:</w:t>
      </w:r>
    </w:p>
    <w:p w:rsidR="00FC2317" w:rsidRDefault="00FC2317">
      <w:pPr>
        <w:rPr>
          <w:sz w:val="22"/>
          <w:szCs w:val="22"/>
        </w:rPr>
      </w:pPr>
      <w:r>
        <w:rPr>
          <w:sz w:val="22"/>
          <w:szCs w:val="22"/>
        </w:rPr>
        <w:tab/>
        <w:t>School of Teaching &amp; Learning</w:t>
      </w:r>
    </w:p>
    <w:p w:rsidR="00FC2317" w:rsidRDefault="00FC2317">
      <w:pPr>
        <w:rPr>
          <w:sz w:val="22"/>
          <w:szCs w:val="22"/>
        </w:rPr>
      </w:pPr>
      <w:r>
        <w:rPr>
          <w:sz w:val="22"/>
          <w:szCs w:val="22"/>
        </w:rPr>
        <w:tab/>
        <w:t>Graduate Studies Office</w:t>
      </w:r>
    </w:p>
    <w:p w:rsidR="00FC2317" w:rsidRDefault="00FC2317">
      <w:pPr>
        <w:rPr>
          <w:sz w:val="22"/>
          <w:szCs w:val="22"/>
        </w:rPr>
      </w:pPr>
      <w:r>
        <w:rPr>
          <w:sz w:val="22"/>
          <w:szCs w:val="22"/>
        </w:rPr>
        <w:tab/>
        <w:t>PO Box 117048</w:t>
      </w:r>
    </w:p>
    <w:p w:rsidR="00FC2317" w:rsidRPr="00C76A43" w:rsidRDefault="00FC2317">
      <w:pPr>
        <w:rPr>
          <w:sz w:val="22"/>
          <w:szCs w:val="22"/>
        </w:rPr>
      </w:pPr>
      <w:r>
        <w:rPr>
          <w:sz w:val="22"/>
          <w:szCs w:val="22"/>
        </w:rPr>
        <w:tab/>
        <w:t>Gainesville, FL 32611-7048</w:t>
      </w:r>
    </w:p>
    <w:p w:rsidR="00FC2317" w:rsidRPr="00C76A43" w:rsidRDefault="00FC2317">
      <w:pPr>
        <w:rPr>
          <w:sz w:val="22"/>
          <w:szCs w:val="22"/>
        </w:rPr>
      </w:pPr>
    </w:p>
    <w:p w:rsidR="00FC2317" w:rsidRPr="00C76A43" w:rsidRDefault="00FC2317">
      <w:pPr>
        <w:rPr>
          <w:sz w:val="22"/>
          <w:szCs w:val="22"/>
        </w:rPr>
      </w:pPr>
      <w:r w:rsidRPr="00C76A43">
        <w:rPr>
          <w:sz w:val="22"/>
          <w:szCs w:val="22"/>
        </w:rPr>
        <w:t>All your previous OFFICIAL TRANSCRIPTS should be sent to:</w:t>
      </w:r>
    </w:p>
    <w:p w:rsidR="00FC2317" w:rsidRPr="00C76A43" w:rsidRDefault="00FC2317" w:rsidP="00FC2317">
      <w:pPr>
        <w:ind w:left="720"/>
        <w:rPr>
          <w:sz w:val="22"/>
          <w:szCs w:val="22"/>
        </w:rPr>
      </w:pPr>
      <w:r w:rsidRPr="00C76A43">
        <w:rPr>
          <w:sz w:val="22"/>
          <w:szCs w:val="22"/>
        </w:rPr>
        <w:t>Office of Admission</w:t>
      </w:r>
    </w:p>
    <w:p w:rsidR="00FC2317" w:rsidRPr="00C76A43" w:rsidRDefault="00FC2317" w:rsidP="00FC2317">
      <w:pPr>
        <w:ind w:left="720"/>
        <w:rPr>
          <w:sz w:val="22"/>
          <w:szCs w:val="22"/>
        </w:rPr>
      </w:pPr>
      <w:r w:rsidRPr="00C76A43">
        <w:rPr>
          <w:sz w:val="22"/>
          <w:szCs w:val="22"/>
        </w:rPr>
        <w:t>201 Criser Hall</w:t>
      </w:r>
    </w:p>
    <w:p w:rsidR="00FC2317" w:rsidRPr="00C76A43" w:rsidRDefault="00FC2317" w:rsidP="00FC2317">
      <w:pPr>
        <w:ind w:left="720"/>
        <w:rPr>
          <w:sz w:val="22"/>
          <w:szCs w:val="22"/>
        </w:rPr>
      </w:pPr>
      <w:r w:rsidRPr="00C76A43">
        <w:rPr>
          <w:sz w:val="22"/>
          <w:szCs w:val="22"/>
        </w:rPr>
        <w:t>PO Box 114000</w:t>
      </w:r>
    </w:p>
    <w:p w:rsidR="00FC2317" w:rsidRPr="00C76A43" w:rsidRDefault="00FC2317" w:rsidP="00FC2317">
      <w:pPr>
        <w:ind w:left="720"/>
        <w:rPr>
          <w:sz w:val="22"/>
          <w:szCs w:val="22"/>
        </w:rPr>
      </w:pPr>
      <w:r w:rsidRPr="00C76A43">
        <w:rPr>
          <w:sz w:val="22"/>
          <w:szCs w:val="22"/>
        </w:rPr>
        <w:t>Gainesville, FL 32611</w:t>
      </w:r>
    </w:p>
    <w:p w:rsidR="00FC2317" w:rsidRPr="00C76A43" w:rsidRDefault="00FC2317" w:rsidP="00FC2317">
      <w:pPr>
        <w:ind w:left="720"/>
        <w:rPr>
          <w:sz w:val="22"/>
          <w:szCs w:val="22"/>
        </w:rPr>
      </w:pPr>
    </w:p>
    <w:p w:rsidR="00FC2317" w:rsidRDefault="00FC2317" w:rsidP="00FC2317">
      <w:pPr>
        <w:rPr>
          <w:sz w:val="22"/>
          <w:szCs w:val="22"/>
        </w:rPr>
      </w:pPr>
    </w:p>
    <w:p w:rsidR="00FC2317" w:rsidRDefault="00FC2317" w:rsidP="00FC2317">
      <w:pPr>
        <w:rPr>
          <w:sz w:val="22"/>
          <w:szCs w:val="22"/>
        </w:rPr>
      </w:pPr>
      <w:r>
        <w:rPr>
          <w:sz w:val="22"/>
          <w:szCs w:val="22"/>
        </w:rPr>
        <w:t>GRE Information:</w:t>
      </w:r>
    </w:p>
    <w:p w:rsidR="00FC2317" w:rsidRPr="00754C5C" w:rsidDel="00C76A43" w:rsidRDefault="00FC2317" w:rsidP="00FC2317">
      <w:pPr>
        <w:rPr>
          <w:sz w:val="22"/>
          <w:szCs w:val="22"/>
        </w:rPr>
      </w:pPr>
      <w:r w:rsidRPr="00C76A43">
        <w:rPr>
          <w:sz w:val="22"/>
          <w:szCs w:val="22"/>
        </w:rPr>
        <w:t>Please make sure to have ETS send your official GRE scores to the University of Florida (code 5812) and the School of Teaching &amp; Learning (code 3101).</w:t>
      </w:r>
      <w:r>
        <w:rPr>
          <w:sz w:val="22"/>
          <w:szCs w:val="22"/>
        </w:rPr>
        <w:t xml:space="preserve">  You can register for the GRE at http://www.gre.org</w:t>
      </w:r>
      <w:r>
        <w:rPr>
          <w:sz w:val="22"/>
          <w:szCs w:val="22"/>
        </w:rPr>
        <w:tab/>
      </w:r>
    </w:p>
    <w:p w:rsidR="00FC2317" w:rsidRPr="00754C5C" w:rsidRDefault="00FC2317" w:rsidP="00FC2317">
      <w:pPr>
        <w:rPr>
          <w:rStyle w:val="Hyperlink"/>
          <w:sz w:val="22"/>
          <w:szCs w:val="22"/>
        </w:rPr>
      </w:pPr>
    </w:p>
    <w:sectPr w:rsidR="00FC2317" w:rsidRPr="00754C5C" w:rsidSect="00FC2317">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1EF"/>
    <w:multiLevelType w:val="hybridMultilevel"/>
    <w:tmpl w:val="5BCAB336"/>
    <w:lvl w:ilvl="0" w:tplc="0D548D72">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754371"/>
    <w:multiLevelType w:val="hybridMultilevel"/>
    <w:tmpl w:val="26AC160A"/>
    <w:lvl w:ilvl="0" w:tplc="0D548D72">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4C78AE"/>
    <w:multiLevelType w:val="hybridMultilevel"/>
    <w:tmpl w:val="DAC08CF0"/>
    <w:lvl w:ilvl="0" w:tplc="0D548D72">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FD0285E"/>
    <w:multiLevelType w:val="hybridMultilevel"/>
    <w:tmpl w:val="B9E03F20"/>
    <w:lvl w:ilvl="0" w:tplc="0D548D7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Wingdings"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Wingdings"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2F4E0DD7"/>
    <w:multiLevelType w:val="hybridMultilevel"/>
    <w:tmpl w:val="2DDC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32793"/>
    <w:multiLevelType w:val="hybridMultilevel"/>
    <w:tmpl w:val="D220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55991"/>
    <w:multiLevelType w:val="hybridMultilevel"/>
    <w:tmpl w:val="BB3C852C"/>
    <w:lvl w:ilvl="0" w:tplc="0D548D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Wingdings"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Wingdings"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Wingdings" w:hint="default"/>
      </w:rPr>
    </w:lvl>
    <w:lvl w:ilvl="8" w:tplc="04090005" w:tentative="1">
      <w:start w:val="1"/>
      <w:numFmt w:val="bullet"/>
      <w:lvlText w:val=""/>
      <w:lvlJc w:val="left"/>
      <w:pPr>
        <w:tabs>
          <w:tab w:val="num" w:pos="7140"/>
        </w:tabs>
        <w:ind w:left="71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1"/>
  <w:stylePaneSortMethod w:val="0000"/>
  <w:defaultTabStop w:val="720"/>
  <w:drawingGridHorizontalSpacing w:val="187"/>
  <w:displayVerticalDrawingGridEvery w:val="2"/>
  <w:characterSpacingControl w:val="doNotCompress"/>
  <w:compat/>
  <w:rsids>
    <w:rsidRoot w:val="00004D5B"/>
    <w:rsid w:val="00004D5B"/>
    <w:rsid w:val="000F4B0F"/>
    <w:rsid w:val="001F0FD0"/>
    <w:rsid w:val="00220E38"/>
    <w:rsid w:val="00282763"/>
    <w:rsid w:val="00377FAD"/>
    <w:rsid w:val="00496D2D"/>
    <w:rsid w:val="004D3EE1"/>
    <w:rsid w:val="00903F1E"/>
    <w:rsid w:val="00D63A3D"/>
    <w:rsid w:val="00F9699D"/>
    <w:rsid w:val="00FC231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D3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565F"/>
    <w:rPr>
      <w:color w:val="0000FF"/>
      <w:u w:val="single"/>
    </w:rPr>
  </w:style>
  <w:style w:type="character" w:styleId="FollowedHyperlink">
    <w:name w:val="FollowedHyperlink"/>
    <w:basedOn w:val="DefaultParagraphFont"/>
    <w:rsid w:val="00EF3A35"/>
    <w:rPr>
      <w:color w:val="800080"/>
      <w:u w:val="single"/>
    </w:rPr>
  </w:style>
  <w:style w:type="paragraph" w:styleId="BalloonText">
    <w:name w:val="Balloon Text"/>
    <w:basedOn w:val="Normal"/>
    <w:link w:val="BalloonTextChar"/>
    <w:rsid w:val="00F574E1"/>
    <w:rPr>
      <w:rFonts w:ascii="Lucida Grande" w:hAnsi="Lucida Grande"/>
      <w:sz w:val="18"/>
      <w:szCs w:val="18"/>
    </w:rPr>
  </w:style>
  <w:style w:type="character" w:customStyle="1" w:styleId="BalloonTextChar">
    <w:name w:val="Balloon Text Char"/>
    <w:basedOn w:val="DefaultParagraphFont"/>
    <w:link w:val="BalloonText"/>
    <w:rsid w:val="00F574E1"/>
    <w:rPr>
      <w:rFonts w:ascii="Lucida Grande" w:hAnsi="Lucida Grande"/>
      <w:sz w:val="18"/>
      <w:szCs w:val="18"/>
    </w:rPr>
  </w:style>
  <w:style w:type="character" w:styleId="CommentReference">
    <w:name w:val="annotation reference"/>
    <w:basedOn w:val="DefaultParagraphFont"/>
    <w:rsid w:val="004B22AE"/>
    <w:rPr>
      <w:sz w:val="18"/>
      <w:szCs w:val="18"/>
    </w:rPr>
  </w:style>
  <w:style w:type="paragraph" w:styleId="CommentText">
    <w:name w:val="annotation text"/>
    <w:basedOn w:val="Normal"/>
    <w:link w:val="CommentTextChar"/>
    <w:rsid w:val="004B22AE"/>
  </w:style>
  <w:style w:type="character" w:customStyle="1" w:styleId="CommentTextChar">
    <w:name w:val="Comment Text Char"/>
    <w:basedOn w:val="DefaultParagraphFont"/>
    <w:link w:val="CommentText"/>
    <w:rsid w:val="004B22AE"/>
    <w:rPr>
      <w:sz w:val="24"/>
      <w:szCs w:val="24"/>
    </w:rPr>
  </w:style>
  <w:style w:type="paragraph" w:styleId="CommentSubject">
    <w:name w:val="annotation subject"/>
    <w:basedOn w:val="CommentText"/>
    <w:next w:val="CommentText"/>
    <w:link w:val="CommentSubjectChar"/>
    <w:rsid w:val="004B22AE"/>
    <w:rPr>
      <w:b/>
      <w:bCs/>
      <w:sz w:val="20"/>
      <w:szCs w:val="20"/>
    </w:rPr>
  </w:style>
  <w:style w:type="character" w:customStyle="1" w:styleId="CommentSubjectChar">
    <w:name w:val="Comment Subject Char"/>
    <w:basedOn w:val="CommentTextChar"/>
    <w:link w:val="CommentSubject"/>
    <w:rsid w:val="004B22AE"/>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565F"/>
    <w:rPr>
      <w:color w:val="0000FF"/>
      <w:u w:val="single"/>
    </w:rPr>
  </w:style>
  <w:style w:type="character" w:styleId="FollowedHyperlink">
    <w:name w:val="FollowedHyperlink"/>
    <w:basedOn w:val="DefaultParagraphFont"/>
    <w:rsid w:val="00EF3A35"/>
    <w:rPr>
      <w:color w:val="800080"/>
      <w:u w:val="single"/>
    </w:rPr>
  </w:style>
  <w:style w:type="paragraph" w:styleId="BalloonText">
    <w:name w:val="Balloon Text"/>
    <w:basedOn w:val="Normal"/>
    <w:link w:val="BalloonTextChar"/>
    <w:rsid w:val="00F574E1"/>
    <w:rPr>
      <w:rFonts w:ascii="Lucida Grande" w:hAnsi="Lucida Grande"/>
      <w:sz w:val="18"/>
      <w:szCs w:val="18"/>
    </w:rPr>
  </w:style>
  <w:style w:type="character" w:customStyle="1" w:styleId="BalloonTextChar">
    <w:name w:val="Balloon Text Char"/>
    <w:basedOn w:val="DefaultParagraphFont"/>
    <w:link w:val="BalloonText"/>
    <w:rsid w:val="00F574E1"/>
    <w:rPr>
      <w:rFonts w:ascii="Lucida Grande" w:hAnsi="Lucida Grande"/>
      <w:sz w:val="18"/>
      <w:szCs w:val="18"/>
    </w:rPr>
  </w:style>
  <w:style w:type="character" w:styleId="CommentReference">
    <w:name w:val="annotation reference"/>
    <w:basedOn w:val="DefaultParagraphFont"/>
    <w:rsid w:val="004B22AE"/>
    <w:rPr>
      <w:sz w:val="18"/>
      <w:szCs w:val="18"/>
    </w:rPr>
  </w:style>
  <w:style w:type="paragraph" w:styleId="CommentText">
    <w:name w:val="annotation text"/>
    <w:basedOn w:val="Normal"/>
    <w:link w:val="CommentTextChar"/>
    <w:rsid w:val="004B22AE"/>
  </w:style>
  <w:style w:type="character" w:customStyle="1" w:styleId="CommentTextChar">
    <w:name w:val="Comment Text Char"/>
    <w:basedOn w:val="DefaultParagraphFont"/>
    <w:link w:val="CommentText"/>
    <w:rsid w:val="004B22AE"/>
    <w:rPr>
      <w:sz w:val="24"/>
      <w:szCs w:val="24"/>
    </w:rPr>
  </w:style>
  <w:style w:type="paragraph" w:styleId="CommentSubject">
    <w:name w:val="annotation subject"/>
    <w:basedOn w:val="CommentText"/>
    <w:next w:val="CommentText"/>
    <w:link w:val="CommentSubjectChar"/>
    <w:rsid w:val="004B22AE"/>
    <w:rPr>
      <w:b/>
      <w:bCs/>
      <w:sz w:val="20"/>
      <w:szCs w:val="20"/>
    </w:rPr>
  </w:style>
  <w:style w:type="character" w:customStyle="1" w:styleId="CommentSubjectChar">
    <w:name w:val="Comment Subject Char"/>
    <w:basedOn w:val="CommentTextChar"/>
    <w:link w:val="CommentSubject"/>
    <w:rsid w:val="004B22AE"/>
    <w:rPr>
      <w:b/>
      <w:bCs/>
      <w:sz w:val="24"/>
      <w:szCs w:val="24"/>
    </w:rPr>
  </w:style>
</w:styles>
</file>

<file path=word/webSettings.xml><?xml version="1.0" encoding="utf-8"?>
<w:webSettings xmlns:r="http://schemas.openxmlformats.org/officeDocument/2006/relationships" xmlns:w="http://schemas.openxmlformats.org/wordprocessingml/2006/main">
  <w:divs>
    <w:div w:id="1581519200">
      <w:bodyDiv w:val="1"/>
      <w:marLeft w:val="0"/>
      <w:marRight w:val="0"/>
      <w:marTop w:val="0"/>
      <w:marBottom w:val="0"/>
      <w:divBdr>
        <w:top w:val="none" w:sz="0" w:space="0" w:color="auto"/>
        <w:left w:val="none" w:sz="0" w:space="0" w:color="auto"/>
        <w:bottom w:val="none" w:sz="0" w:space="0" w:color="auto"/>
        <w:right w:val="none" w:sz="0" w:space="0" w:color="auto"/>
      </w:divBdr>
      <w:divsChild>
        <w:div w:id="111948352">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1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932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752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is.ufl.edu/cgi-bin/eaglec?page=iga-in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UF Online application instructions</vt:lpstr>
    </vt:vector>
  </TitlesOfParts>
  <Company>University of Florida - College of Education</Company>
  <LinksUpToDate>false</LinksUpToDate>
  <CharactersWithSpaces>4312</CharactersWithSpaces>
  <SharedDoc>false</SharedDoc>
  <HLinks>
    <vt:vector size="6" baseType="variant">
      <vt:variant>
        <vt:i4>6357107</vt:i4>
      </vt:variant>
      <vt:variant>
        <vt:i4>0</vt:i4>
      </vt:variant>
      <vt:variant>
        <vt:i4>0</vt:i4>
      </vt:variant>
      <vt:variant>
        <vt:i4>5</vt:i4>
      </vt:variant>
      <vt:variant>
        <vt:lpwstr>https://www.isis.ufl.edu/cgi-bin/eaglec?page=iga-intro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 Online application instructions</dc:title>
  <dc:creator>Alyson Adams</dc:creator>
  <cp:lastModifiedBy>Alyson67</cp:lastModifiedBy>
  <cp:revision>2</cp:revision>
  <cp:lastPrinted>2008-09-09T17:21:00Z</cp:lastPrinted>
  <dcterms:created xsi:type="dcterms:W3CDTF">2013-07-10T19:03:00Z</dcterms:created>
  <dcterms:modified xsi:type="dcterms:W3CDTF">2013-07-10T19:03:00Z</dcterms:modified>
</cp:coreProperties>
</file>