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1A" w:rsidRPr="00AE6F7E" w:rsidRDefault="000C281A" w:rsidP="00F04E16">
      <w:pPr>
        <w:tabs>
          <w:tab w:val="left" w:pos="8640"/>
        </w:tabs>
        <w:rPr>
          <w:rFonts w:asciiTheme="majorHAnsi" w:hAnsiTheme="majorHAnsi"/>
          <w:b/>
          <w:sz w:val="28"/>
          <w:szCs w:val="28"/>
        </w:rPr>
      </w:pPr>
      <w:bookmarkStart w:id="0" w:name="_GoBack"/>
      <w:bookmarkEnd w:id="0"/>
      <w:r w:rsidRPr="00AE6F7E">
        <w:rPr>
          <w:rFonts w:asciiTheme="majorHAnsi" w:hAnsiTheme="majorHAnsi"/>
          <w:b/>
          <w:sz w:val="28"/>
          <w:szCs w:val="28"/>
        </w:rPr>
        <w:t>Budgetary Affairs Committee</w:t>
      </w:r>
    </w:p>
    <w:p w:rsidR="00D35C60" w:rsidRPr="00AE6F7E" w:rsidRDefault="0037731E" w:rsidP="00F04E16">
      <w:pPr>
        <w:tabs>
          <w:tab w:val="left" w:pos="8640"/>
        </w:tabs>
        <w:rPr>
          <w:rFonts w:asciiTheme="majorHAnsi" w:hAnsiTheme="majorHAnsi"/>
          <w:b/>
          <w:sz w:val="28"/>
          <w:szCs w:val="28"/>
        </w:rPr>
      </w:pPr>
      <w:r w:rsidRPr="00AE6F7E">
        <w:rPr>
          <w:rFonts w:asciiTheme="majorHAnsi" w:hAnsiTheme="majorHAnsi"/>
          <w:b/>
          <w:sz w:val="28"/>
          <w:szCs w:val="28"/>
        </w:rPr>
        <w:t>End of Year Report</w:t>
      </w:r>
    </w:p>
    <w:p w:rsidR="00FB1E84" w:rsidRPr="00F04E16" w:rsidRDefault="00F40AA1" w:rsidP="00F04E16">
      <w:pPr>
        <w:tabs>
          <w:tab w:val="left" w:pos="8640"/>
        </w:tabs>
        <w:rPr>
          <w:rFonts w:asciiTheme="majorHAnsi" w:hAnsiTheme="majorHAnsi"/>
          <w:b/>
          <w:sz w:val="28"/>
          <w:szCs w:val="22"/>
        </w:rPr>
      </w:pPr>
      <w:r w:rsidRPr="00F04E16">
        <w:rPr>
          <w:rFonts w:asciiTheme="majorHAnsi" w:hAnsiTheme="majorHAnsi"/>
          <w:b/>
          <w:sz w:val="28"/>
          <w:szCs w:val="22"/>
        </w:rPr>
        <w:t>May 2, 2014</w:t>
      </w:r>
    </w:p>
    <w:p w:rsidR="00CF3C97" w:rsidRPr="00FB1E84" w:rsidRDefault="00CF3C97" w:rsidP="00F04E16">
      <w:pPr>
        <w:tabs>
          <w:tab w:val="left" w:pos="8640"/>
        </w:tabs>
        <w:rPr>
          <w:rFonts w:asciiTheme="majorHAnsi" w:hAnsiTheme="majorHAnsi"/>
          <w:sz w:val="22"/>
          <w:szCs w:val="22"/>
        </w:rPr>
      </w:pPr>
    </w:p>
    <w:p w:rsidR="00FB1E84" w:rsidRPr="00FB1E84" w:rsidRDefault="00FB1E84" w:rsidP="00F04E16">
      <w:pPr>
        <w:tabs>
          <w:tab w:val="left" w:pos="8640"/>
        </w:tabs>
        <w:rPr>
          <w:rFonts w:asciiTheme="majorHAnsi" w:hAnsiTheme="majorHAnsi"/>
          <w:b/>
          <w:sz w:val="22"/>
          <w:szCs w:val="22"/>
          <w:u w:val="single"/>
        </w:rPr>
      </w:pPr>
      <w:r w:rsidRPr="00FB1E84">
        <w:rPr>
          <w:rFonts w:asciiTheme="majorHAnsi" w:hAnsiTheme="majorHAnsi"/>
          <w:b/>
          <w:sz w:val="22"/>
          <w:szCs w:val="22"/>
          <w:u w:val="single"/>
        </w:rPr>
        <w:t>Meetings and Minutes</w:t>
      </w:r>
    </w:p>
    <w:p w:rsidR="00CF3C97" w:rsidRPr="00FB1E84" w:rsidRDefault="00CF3C97" w:rsidP="00F04E16">
      <w:pPr>
        <w:tabs>
          <w:tab w:val="left" w:pos="8640"/>
        </w:tabs>
        <w:rPr>
          <w:rFonts w:asciiTheme="majorHAnsi" w:hAnsiTheme="majorHAnsi"/>
          <w:sz w:val="22"/>
          <w:szCs w:val="22"/>
        </w:rPr>
      </w:pPr>
      <w:r w:rsidRPr="00FB1E84">
        <w:rPr>
          <w:rFonts w:asciiTheme="majorHAnsi" w:hAnsiTheme="majorHAnsi"/>
          <w:sz w:val="22"/>
          <w:szCs w:val="22"/>
        </w:rPr>
        <w:t xml:space="preserve">The Budgetary Affairs Committee </w:t>
      </w:r>
      <w:r w:rsidR="008C1FC7" w:rsidRPr="00FB1E84">
        <w:rPr>
          <w:rFonts w:asciiTheme="majorHAnsi" w:hAnsiTheme="majorHAnsi"/>
          <w:sz w:val="22"/>
          <w:szCs w:val="22"/>
        </w:rPr>
        <w:t xml:space="preserve">(BAC) </w:t>
      </w:r>
      <w:r w:rsidR="006033F6">
        <w:rPr>
          <w:rFonts w:asciiTheme="majorHAnsi" w:hAnsiTheme="majorHAnsi"/>
          <w:sz w:val="22"/>
          <w:szCs w:val="22"/>
        </w:rPr>
        <w:t>met</w:t>
      </w:r>
      <w:r w:rsidRPr="00FB1E84">
        <w:rPr>
          <w:rFonts w:asciiTheme="majorHAnsi" w:hAnsiTheme="majorHAnsi"/>
          <w:sz w:val="22"/>
          <w:szCs w:val="22"/>
        </w:rPr>
        <w:t xml:space="preserve"> </w:t>
      </w:r>
      <w:r w:rsidR="006033F6">
        <w:rPr>
          <w:rFonts w:asciiTheme="majorHAnsi" w:hAnsiTheme="majorHAnsi"/>
          <w:sz w:val="22"/>
          <w:szCs w:val="22"/>
        </w:rPr>
        <w:t xml:space="preserve">on the </w:t>
      </w:r>
      <w:r w:rsidRPr="00FB1E84">
        <w:rPr>
          <w:rFonts w:asciiTheme="majorHAnsi" w:hAnsiTheme="majorHAnsi"/>
          <w:sz w:val="22"/>
          <w:szCs w:val="22"/>
        </w:rPr>
        <w:t>following dates during the 201</w:t>
      </w:r>
      <w:r w:rsidR="00F40AA1">
        <w:rPr>
          <w:rFonts w:asciiTheme="majorHAnsi" w:hAnsiTheme="majorHAnsi"/>
          <w:sz w:val="22"/>
          <w:szCs w:val="22"/>
        </w:rPr>
        <w:t>3</w:t>
      </w:r>
      <w:r w:rsidRPr="00FB1E84">
        <w:rPr>
          <w:rFonts w:asciiTheme="majorHAnsi" w:hAnsiTheme="majorHAnsi"/>
          <w:sz w:val="22"/>
          <w:szCs w:val="22"/>
        </w:rPr>
        <w:t>-201</w:t>
      </w:r>
      <w:r w:rsidR="00F40AA1">
        <w:rPr>
          <w:rFonts w:asciiTheme="majorHAnsi" w:hAnsiTheme="majorHAnsi"/>
          <w:sz w:val="22"/>
          <w:szCs w:val="22"/>
        </w:rPr>
        <w:t>4</w:t>
      </w:r>
      <w:r w:rsidRPr="00FB1E84">
        <w:rPr>
          <w:rFonts w:asciiTheme="majorHAnsi" w:hAnsiTheme="majorHAnsi"/>
          <w:sz w:val="22"/>
          <w:szCs w:val="22"/>
        </w:rPr>
        <w:t xml:space="preserve"> academic year</w:t>
      </w:r>
      <w:r w:rsidR="001900E4">
        <w:rPr>
          <w:rFonts w:asciiTheme="majorHAnsi" w:hAnsiTheme="majorHAnsi"/>
          <w:sz w:val="22"/>
          <w:szCs w:val="22"/>
        </w:rPr>
        <w:t>, and minutes have been submitted for all dates:  September 5, October 3, November 7, December 5, January 9, February 6, March 13, May 1.</w:t>
      </w:r>
    </w:p>
    <w:p w:rsidR="00CF3C97" w:rsidRPr="00FB1E84" w:rsidRDefault="00CF3C97" w:rsidP="00F04E16">
      <w:pPr>
        <w:tabs>
          <w:tab w:val="left" w:pos="8640"/>
        </w:tabs>
        <w:rPr>
          <w:rFonts w:asciiTheme="majorHAnsi" w:hAnsiTheme="majorHAnsi"/>
          <w:sz w:val="22"/>
          <w:szCs w:val="22"/>
        </w:rPr>
      </w:pPr>
    </w:p>
    <w:p w:rsidR="00FB1E84" w:rsidRPr="00FB1E84" w:rsidRDefault="00FB1E84" w:rsidP="00F04E16">
      <w:pPr>
        <w:tabs>
          <w:tab w:val="left" w:pos="8640"/>
        </w:tabs>
        <w:rPr>
          <w:rFonts w:asciiTheme="majorHAnsi" w:hAnsiTheme="majorHAnsi"/>
          <w:b/>
          <w:sz w:val="22"/>
          <w:szCs w:val="22"/>
          <w:u w:val="single"/>
        </w:rPr>
      </w:pPr>
      <w:r w:rsidRPr="00FB1E84">
        <w:rPr>
          <w:rFonts w:asciiTheme="majorHAnsi" w:hAnsiTheme="majorHAnsi"/>
          <w:b/>
          <w:sz w:val="22"/>
          <w:szCs w:val="22"/>
          <w:u w:val="single"/>
        </w:rPr>
        <w:t>Major Goals and Accomplishments</w:t>
      </w:r>
    </w:p>
    <w:p w:rsidR="00CF3C97" w:rsidRPr="00FB1E84" w:rsidRDefault="008C1FC7" w:rsidP="00F04E16">
      <w:pPr>
        <w:tabs>
          <w:tab w:val="left" w:pos="8640"/>
        </w:tabs>
        <w:rPr>
          <w:rFonts w:asciiTheme="majorHAnsi" w:hAnsiTheme="majorHAnsi"/>
          <w:sz w:val="22"/>
          <w:szCs w:val="22"/>
        </w:rPr>
      </w:pPr>
      <w:r w:rsidRPr="00FB1E84">
        <w:rPr>
          <w:rFonts w:asciiTheme="majorHAnsi" w:hAnsiTheme="majorHAnsi"/>
          <w:sz w:val="22"/>
          <w:szCs w:val="22"/>
        </w:rPr>
        <w:t xml:space="preserve">The BAC </w:t>
      </w:r>
      <w:r w:rsidR="001900E4">
        <w:rPr>
          <w:rFonts w:asciiTheme="majorHAnsi" w:hAnsiTheme="majorHAnsi"/>
          <w:sz w:val="22"/>
          <w:szCs w:val="22"/>
        </w:rPr>
        <w:t xml:space="preserve">began the year by reviewing materials provided by FPC, including </w:t>
      </w:r>
      <w:r w:rsidR="006F09C5">
        <w:rPr>
          <w:rFonts w:asciiTheme="majorHAnsi" w:hAnsiTheme="majorHAnsi"/>
          <w:sz w:val="22"/>
          <w:szCs w:val="22"/>
        </w:rPr>
        <w:t>suggested goals from the FPC chair and two years of previous BAC reports and recommendations for future actions. We decided to focus on the college strategic plan goal of improving</w:t>
      </w:r>
      <w:r w:rsidRPr="00FB1E84">
        <w:rPr>
          <w:rFonts w:asciiTheme="majorHAnsi" w:hAnsiTheme="majorHAnsi"/>
          <w:sz w:val="22"/>
          <w:szCs w:val="22"/>
        </w:rPr>
        <w:t xml:space="preserve"> </w:t>
      </w:r>
      <w:r w:rsidRPr="00AE6F7E">
        <w:rPr>
          <w:rFonts w:asciiTheme="majorHAnsi" w:hAnsiTheme="majorHAnsi"/>
          <w:b/>
          <w:i/>
          <w:sz w:val="22"/>
          <w:szCs w:val="22"/>
        </w:rPr>
        <w:t>Transparency in the College</w:t>
      </w:r>
      <w:r w:rsidR="006F09C5">
        <w:rPr>
          <w:rFonts w:asciiTheme="majorHAnsi" w:hAnsiTheme="majorHAnsi"/>
          <w:b/>
          <w:sz w:val="22"/>
          <w:szCs w:val="22"/>
        </w:rPr>
        <w:t xml:space="preserve">. </w:t>
      </w:r>
      <w:r w:rsidR="009D5F60">
        <w:rPr>
          <w:rFonts w:asciiTheme="majorHAnsi" w:hAnsiTheme="majorHAnsi"/>
          <w:sz w:val="22"/>
          <w:szCs w:val="22"/>
        </w:rPr>
        <w:t xml:space="preserve">Accomplishments for </w:t>
      </w:r>
      <w:r w:rsidR="006F09C5">
        <w:rPr>
          <w:rFonts w:asciiTheme="majorHAnsi" w:hAnsiTheme="majorHAnsi"/>
          <w:sz w:val="22"/>
          <w:szCs w:val="22"/>
        </w:rPr>
        <w:t>the year included</w:t>
      </w:r>
      <w:r w:rsidRPr="00FB1E84">
        <w:rPr>
          <w:rFonts w:asciiTheme="majorHAnsi" w:hAnsiTheme="majorHAnsi"/>
          <w:sz w:val="22"/>
          <w:szCs w:val="22"/>
        </w:rPr>
        <w:t xml:space="preserve">  </w:t>
      </w:r>
    </w:p>
    <w:p w:rsidR="008C1FC7" w:rsidRPr="00FB1E84" w:rsidRDefault="008C1FC7" w:rsidP="00F04E16">
      <w:pPr>
        <w:tabs>
          <w:tab w:val="left" w:pos="8640"/>
        </w:tabs>
        <w:rPr>
          <w:rFonts w:asciiTheme="majorHAnsi" w:hAnsiTheme="majorHAnsi"/>
          <w:sz w:val="22"/>
          <w:szCs w:val="22"/>
        </w:rPr>
      </w:pPr>
    </w:p>
    <w:p w:rsidR="008A6CB3" w:rsidRDefault="006F09C5" w:rsidP="00F04E16">
      <w:pPr>
        <w:pStyle w:val="ListParagraph"/>
        <w:numPr>
          <w:ilvl w:val="0"/>
          <w:numId w:val="8"/>
        </w:numPr>
        <w:tabs>
          <w:tab w:val="left" w:pos="8640"/>
        </w:tabs>
        <w:rPr>
          <w:rFonts w:asciiTheme="majorHAnsi" w:hAnsiTheme="majorHAnsi"/>
          <w:sz w:val="22"/>
          <w:szCs w:val="22"/>
        </w:rPr>
      </w:pPr>
      <w:r w:rsidRPr="006F09C5">
        <w:rPr>
          <w:rFonts w:asciiTheme="majorHAnsi" w:hAnsiTheme="majorHAnsi"/>
          <w:b/>
          <w:sz w:val="22"/>
          <w:szCs w:val="22"/>
        </w:rPr>
        <w:t>M</w:t>
      </w:r>
      <w:r w:rsidR="007475AE" w:rsidRPr="006F09C5">
        <w:rPr>
          <w:rFonts w:asciiTheme="majorHAnsi" w:hAnsiTheme="majorHAnsi"/>
          <w:b/>
          <w:sz w:val="22"/>
          <w:szCs w:val="22"/>
        </w:rPr>
        <w:t>onthly budget updates</w:t>
      </w:r>
      <w:r w:rsidR="007475AE" w:rsidRPr="00064AE5">
        <w:rPr>
          <w:rFonts w:asciiTheme="majorHAnsi" w:hAnsiTheme="majorHAnsi"/>
          <w:sz w:val="22"/>
          <w:szCs w:val="22"/>
        </w:rPr>
        <w:t xml:space="preserve"> from Associate Dean</w:t>
      </w:r>
      <w:r>
        <w:rPr>
          <w:rFonts w:asciiTheme="majorHAnsi" w:hAnsiTheme="majorHAnsi"/>
          <w:sz w:val="22"/>
          <w:szCs w:val="22"/>
        </w:rPr>
        <w:t xml:space="preserve"> and Business Office </w:t>
      </w:r>
      <w:r w:rsidR="009D5F60">
        <w:rPr>
          <w:rFonts w:asciiTheme="majorHAnsi" w:hAnsiTheme="majorHAnsi"/>
          <w:sz w:val="22"/>
          <w:szCs w:val="22"/>
        </w:rPr>
        <w:t xml:space="preserve">to increase communication and transparency in fiscal matters. </w:t>
      </w:r>
    </w:p>
    <w:p w:rsidR="006F09C5" w:rsidRDefault="006F09C5" w:rsidP="00F04E16">
      <w:pPr>
        <w:pStyle w:val="ListParagraph"/>
        <w:numPr>
          <w:ilvl w:val="0"/>
          <w:numId w:val="8"/>
        </w:numPr>
        <w:tabs>
          <w:tab w:val="left" w:pos="8640"/>
        </w:tabs>
        <w:rPr>
          <w:rFonts w:asciiTheme="majorHAnsi" w:hAnsiTheme="majorHAnsi"/>
          <w:sz w:val="22"/>
          <w:szCs w:val="22"/>
        </w:rPr>
      </w:pPr>
      <w:r w:rsidRPr="006F09C5">
        <w:rPr>
          <w:rFonts w:asciiTheme="majorHAnsi" w:hAnsiTheme="majorHAnsi"/>
          <w:b/>
          <w:sz w:val="22"/>
          <w:szCs w:val="22"/>
        </w:rPr>
        <w:t>Focus on IDC and Salary Savings policies:</w:t>
      </w:r>
      <w:r>
        <w:rPr>
          <w:rFonts w:asciiTheme="majorHAnsi" w:hAnsiTheme="majorHAnsi"/>
          <w:sz w:val="22"/>
          <w:szCs w:val="22"/>
        </w:rPr>
        <w:t xml:space="preserve"> Since last year’s BAC work illuminated the fact that only one school had an IDC policy and one had a salary savings policy, we asked each School and the Dean’s area to work on creating each of these this year. We asked that they be created by the end of November so we could review the policies in advance of a panel discussion with the Directors and Deans at our January meeting. In December we analyzed all the plans that were submitted (both from SESPECS, both from STL, and IDC policies only from HDOSE and the Dean’s area) and created a summary of strengths and gaps across policies that gu</w:t>
      </w:r>
      <w:r w:rsidR="009D5F60">
        <w:rPr>
          <w:rFonts w:asciiTheme="majorHAnsi" w:hAnsiTheme="majorHAnsi"/>
          <w:sz w:val="22"/>
          <w:szCs w:val="22"/>
        </w:rPr>
        <w:t xml:space="preserve">ided our discussion in January (attached). The discussion in January was very productive and we hope that our reviews will strengthen the policies in each school without enforcing too many restrictions on exactly what each policy should contain or address. We wanted each school and the college to have flexibility to create plans that worked for their unit. </w:t>
      </w:r>
      <w:r w:rsidR="006479FA">
        <w:rPr>
          <w:rFonts w:asciiTheme="majorHAnsi" w:hAnsiTheme="majorHAnsi"/>
          <w:sz w:val="22"/>
          <w:szCs w:val="22"/>
        </w:rPr>
        <w:t xml:space="preserve">On </w:t>
      </w:r>
      <w:r w:rsidR="009D5F60">
        <w:rPr>
          <w:rFonts w:asciiTheme="majorHAnsi" w:hAnsiTheme="majorHAnsi"/>
          <w:sz w:val="22"/>
          <w:szCs w:val="22"/>
        </w:rPr>
        <w:t xml:space="preserve">February </w:t>
      </w:r>
      <w:r w:rsidR="006479FA">
        <w:rPr>
          <w:rFonts w:asciiTheme="majorHAnsi" w:hAnsiTheme="majorHAnsi"/>
          <w:sz w:val="22"/>
          <w:szCs w:val="22"/>
        </w:rPr>
        <w:t xml:space="preserve">24 </w:t>
      </w:r>
      <w:r w:rsidR="009D5F60">
        <w:rPr>
          <w:rFonts w:asciiTheme="majorHAnsi" w:hAnsiTheme="majorHAnsi"/>
          <w:sz w:val="22"/>
          <w:szCs w:val="22"/>
        </w:rPr>
        <w:t>FPC pass</w:t>
      </w:r>
      <w:r w:rsidR="006479FA">
        <w:rPr>
          <w:rFonts w:asciiTheme="majorHAnsi" w:hAnsiTheme="majorHAnsi"/>
          <w:sz w:val="22"/>
          <w:szCs w:val="22"/>
        </w:rPr>
        <w:t>ed</w:t>
      </w:r>
      <w:r w:rsidR="009D5F60">
        <w:rPr>
          <w:rFonts w:asciiTheme="majorHAnsi" w:hAnsiTheme="majorHAnsi"/>
          <w:sz w:val="22"/>
          <w:szCs w:val="22"/>
        </w:rPr>
        <w:t xml:space="preserve"> a </w:t>
      </w:r>
      <w:r w:rsidR="006479FA">
        <w:rPr>
          <w:rFonts w:asciiTheme="majorHAnsi" w:hAnsiTheme="majorHAnsi"/>
          <w:sz w:val="22"/>
          <w:szCs w:val="22"/>
        </w:rPr>
        <w:t>policy that we brought forward</w:t>
      </w:r>
      <w:r w:rsidR="009D5F60">
        <w:rPr>
          <w:rFonts w:asciiTheme="majorHAnsi" w:hAnsiTheme="majorHAnsi"/>
          <w:sz w:val="22"/>
          <w:szCs w:val="22"/>
        </w:rPr>
        <w:t xml:space="preserve"> saying that each school and the college should put policies in place for Salary Savings and IDC, and that those policies should be reviewed </w:t>
      </w:r>
      <w:r w:rsidR="006479FA">
        <w:rPr>
          <w:rFonts w:asciiTheme="majorHAnsi" w:hAnsiTheme="majorHAnsi"/>
          <w:sz w:val="22"/>
          <w:szCs w:val="22"/>
        </w:rPr>
        <w:t xml:space="preserve">by BAC every 2-3 years. </w:t>
      </w:r>
    </w:p>
    <w:p w:rsidR="009D5F60" w:rsidRPr="009D5F60" w:rsidRDefault="009D5F60" w:rsidP="00F04E16">
      <w:pPr>
        <w:pStyle w:val="ListParagraph"/>
        <w:numPr>
          <w:ilvl w:val="0"/>
          <w:numId w:val="8"/>
        </w:numPr>
        <w:tabs>
          <w:tab w:val="left" w:pos="8640"/>
        </w:tabs>
        <w:rPr>
          <w:rFonts w:asciiTheme="majorHAnsi" w:hAnsiTheme="majorHAnsi"/>
          <w:sz w:val="22"/>
          <w:szCs w:val="22"/>
        </w:rPr>
      </w:pPr>
      <w:r>
        <w:rPr>
          <w:rFonts w:asciiTheme="majorHAnsi" w:hAnsiTheme="majorHAnsi"/>
          <w:b/>
          <w:sz w:val="22"/>
          <w:szCs w:val="22"/>
        </w:rPr>
        <w:t xml:space="preserve">Introduction to Entrepreneurial Activities </w:t>
      </w:r>
      <w:r>
        <w:rPr>
          <w:rFonts w:asciiTheme="majorHAnsi" w:hAnsiTheme="majorHAnsi"/>
          <w:sz w:val="22"/>
          <w:szCs w:val="22"/>
        </w:rPr>
        <w:t xml:space="preserve">in the college: We had a discussion outlining several entrepreneurial activities that are currently happening, including off book programs that were and were not successful this year. We discussed how budgets are created for new entrepreneurial activities and how decisions are made regarding start up loans and payback </w:t>
      </w:r>
      <w:r w:rsidRPr="009D5F60">
        <w:rPr>
          <w:rFonts w:asciiTheme="majorHAnsi" w:hAnsiTheme="majorHAnsi"/>
          <w:sz w:val="22"/>
          <w:szCs w:val="22"/>
        </w:rPr>
        <w:t xml:space="preserve">schedules from activity revenues. </w:t>
      </w:r>
    </w:p>
    <w:p w:rsidR="009D5F60" w:rsidRPr="009D5F60" w:rsidRDefault="009D5F60" w:rsidP="00F04E16">
      <w:pPr>
        <w:pStyle w:val="ListParagraph"/>
        <w:numPr>
          <w:ilvl w:val="0"/>
          <w:numId w:val="8"/>
        </w:numPr>
        <w:tabs>
          <w:tab w:val="left" w:pos="8640"/>
        </w:tabs>
        <w:rPr>
          <w:rFonts w:asciiTheme="majorHAnsi" w:hAnsiTheme="majorHAnsi"/>
          <w:sz w:val="22"/>
          <w:szCs w:val="22"/>
        </w:rPr>
      </w:pPr>
      <w:r w:rsidRPr="009D5F60">
        <w:rPr>
          <w:rFonts w:asciiTheme="majorHAnsi" w:hAnsiTheme="majorHAnsi"/>
          <w:b/>
          <w:sz w:val="22"/>
          <w:szCs w:val="22"/>
        </w:rPr>
        <w:t xml:space="preserve">Merit Process and Outcomes:  </w:t>
      </w:r>
      <w:r w:rsidR="00D05302">
        <w:rPr>
          <w:rFonts w:asciiTheme="majorHAnsi" w:hAnsiTheme="majorHAnsi"/>
          <w:sz w:val="22"/>
          <w:szCs w:val="22"/>
        </w:rPr>
        <w:t xml:space="preserve">We had a discussion about the merit allocation process in the college, some of the challenges of last year that we hope to avoid this coming year (should merit money be available), and the outcomes of last year’s merit process listed by unit. We collected the merit review policies from each school but did not review them or discuss the content of them, but we did verify that all schools HAVE a process in place. </w:t>
      </w:r>
    </w:p>
    <w:p w:rsidR="009D5F60" w:rsidRPr="009D5F60" w:rsidRDefault="008C1FC7" w:rsidP="00F04E16">
      <w:pPr>
        <w:pStyle w:val="ListParagraph"/>
        <w:numPr>
          <w:ilvl w:val="0"/>
          <w:numId w:val="8"/>
        </w:numPr>
        <w:tabs>
          <w:tab w:val="left" w:pos="8640"/>
        </w:tabs>
        <w:rPr>
          <w:rFonts w:asciiTheme="majorHAnsi" w:hAnsiTheme="majorHAnsi"/>
          <w:sz w:val="22"/>
          <w:szCs w:val="22"/>
        </w:rPr>
      </w:pPr>
      <w:r w:rsidRPr="009D5F60">
        <w:rPr>
          <w:rFonts w:asciiTheme="majorHAnsi" w:hAnsiTheme="majorHAnsi"/>
          <w:b/>
          <w:sz w:val="22"/>
          <w:szCs w:val="22"/>
        </w:rPr>
        <w:t>COE FPC/ Dean’s Budget Forum</w:t>
      </w:r>
      <w:r w:rsidR="009D5F60">
        <w:rPr>
          <w:rFonts w:asciiTheme="majorHAnsi" w:hAnsiTheme="majorHAnsi"/>
          <w:sz w:val="22"/>
          <w:szCs w:val="22"/>
        </w:rPr>
        <w:t xml:space="preserve">: This year this forum was scheduled in conjunction with the COE Spring Faculty Meeting on April 24. We attempted to schedule this for March as a budget forum only, but due to schedule conflicts we combined it with the spring faculty meeting.  </w:t>
      </w:r>
      <w:r w:rsidR="00D05302">
        <w:rPr>
          <w:rFonts w:asciiTheme="majorHAnsi" w:hAnsiTheme="majorHAnsi"/>
          <w:sz w:val="22"/>
          <w:szCs w:val="22"/>
        </w:rPr>
        <w:t>Committee members felt that the combined event was well received by faculty and staff, and we would recommend combining the events in the future.  The powerpoint from the event, including slides related to budget myths and facts, is available on the FPC website.</w:t>
      </w:r>
    </w:p>
    <w:p w:rsidR="00F04E16" w:rsidRDefault="00F04E16" w:rsidP="00F04E16">
      <w:pPr>
        <w:tabs>
          <w:tab w:val="left" w:pos="8640"/>
        </w:tabs>
        <w:rPr>
          <w:rFonts w:asciiTheme="majorHAnsi" w:hAnsiTheme="majorHAnsi"/>
          <w:b/>
          <w:sz w:val="22"/>
          <w:szCs w:val="22"/>
          <w:u w:val="single"/>
        </w:rPr>
      </w:pPr>
    </w:p>
    <w:p w:rsidR="00B26758" w:rsidRDefault="006479FA" w:rsidP="00F04E16">
      <w:pPr>
        <w:tabs>
          <w:tab w:val="left" w:pos="8640"/>
        </w:tabs>
        <w:rPr>
          <w:rFonts w:asciiTheme="majorHAnsi" w:hAnsiTheme="majorHAnsi"/>
          <w:b/>
          <w:sz w:val="22"/>
          <w:szCs w:val="22"/>
          <w:u w:val="single"/>
        </w:rPr>
      </w:pPr>
      <w:r>
        <w:rPr>
          <w:rFonts w:asciiTheme="majorHAnsi" w:hAnsiTheme="majorHAnsi"/>
          <w:b/>
          <w:sz w:val="22"/>
          <w:szCs w:val="22"/>
          <w:u w:val="single"/>
        </w:rPr>
        <w:lastRenderedPageBreak/>
        <w:t>Documents created by BAC</w:t>
      </w:r>
    </w:p>
    <w:p w:rsidR="00420946" w:rsidRDefault="006479FA" w:rsidP="00F04E16">
      <w:pPr>
        <w:pStyle w:val="ListParagraph"/>
        <w:numPr>
          <w:ilvl w:val="0"/>
          <w:numId w:val="15"/>
        </w:numPr>
        <w:tabs>
          <w:tab w:val="left" w:pos="8640"/>
        </w:tabs>
        <w:rPr>
          <w:rFonts w:asciiTheme="majorHAnsi" w:hAnsiTheme="majorHAnsi"/>
          <w:sz w:val="22"/>
          <w:szCs w:val="22"/>
        </w:rPr>
      </w:pPr>
      <w:r w:rsidRPr="006479FA">
        <w:rPr>
          <w:rFonts w:asciiTheme="majorHAnsi" w:hAnsiTheme="majorHAnsi"/>
          <w:sz w:val="22"/>
          <w:szCs w:val="22"/>
        </w:rPr>
        <w:t xml:space="preserve">Guidelines for IDC and Salary Savings policies: located </w:t>
      </w:r>
      <w:r w:rsidR="00420946">
        <w:rPr>
          <w:rFonts w:asciiTheme="majorHAnsi" w:hAnsiTheme="majorHAnsi"/>
          <w:sz w:val="22"/>
          <w:szCs w:val="22"/>
        </w:rPr>
        <w:t xml:space="preserve">on BAC website under minutes for February 6:  </w:t>
      </w:r>
      <w:hyperlink r:id="rId9" w:history="1">
        <w:r w:rsidR="00420946" w:rsidRPr="007854EE">
          <w:rPr>
            <w:rStyle w:val="Hyperlink"/>
            <w:rFonts w:asciiTheme="majorHAnsi" w:hAnsiTheme="majorHAnsi"/>
            <w:sz w:val="22"/>
            <w:szCs w:val="22"/>
          </w:rPr>
          <w:t>http://education.ufl.edu/budgetary-affairs-committee/minutes/</w:t>
        </w:r>
      </w:hyperlink>
    </w:p>
    <w:p w:rsidR="006479FA" w:rsidRPr="00420946" w:rsidRDefault="00420946" w:rsidP="00420946">
      <w:pPr>
        <w:pStyle w:val="ListParagraph"/>
        <w:numPr>
          <w:ilvl w:val="0"/>
          <w:numId w:val="15"/>
        </w:numPr>
        <w:tabs>
          <w:tab w:val="left" w:pos="8640"/>
        </w:tabs>
        <w:rPr>
          <w:rFonts w:asciiTheme="majorHAnsi" w:hAnsiTheme="majorHAnsi"/>
          <w:sz w:val="22"/>
          <w:szCs w:val="22"/>
        </w:rPr>
      </w:pPr>
      <w:r>
        <w:rPr>
          <w:rFonts w:asciiTheme="majorHAnsi" w:hAnsiTheme="majorHAnsi"/>
          <w:sz w:val="22"/>
          <w:szCs w:val="22"/>
        </w:rPr>
        <w:t xml:space="preserve"> </w:t>
      </w:r>
      <w:r w:rsidR="006479FA" w:rsidRPr="00420946">
        <w:rPr>
          <w:rFonts w:asciiTheme="majorHAnsi" w:hAnsiTheme="majorHAnsi"/>
          <w:sz w:val="22"/>
          <w:szCs w:val="22"/>
        </w:rPr>
        <w:t xml:space="preserve">Approved FPC policy regarding creation of IDC and Salary Savings policies by each school and the college: located on FPC website </w:t>
      </w:r>
      <w:hyperlink r:id="rId10" w:history="1">
        <w:r w:rsidR="006479FA" w:rsidRPr="00420946">
          <w:rPr>
            <w:rStyle w:val="Hyperlink"/>
            <w:rFonts w:asciiTheme="majorHAnsi" w:hAnsiTheme="majorHAnsi"/>
            <w:sz w:val="22"/>
            <w:szCs w:val="22"/>
          </w:rPr>
          <w:t>http://education.ufl.edu/faculty-policy/policies/</w:t>
        </w:r>
      </w:hyperlink>
    </w:p>
    <w:p w:rsidR="00F04E16" w:rsidRDefault="00F04E16" w:rsidP="00F04E16">
      <w:pPr>
        <w:tabs>
          <w:tab w:val="left" w:pos="8640"/>
        </w:tabs>
        <w:rPr>
          <w:rFonts w:asciiTheme="majorHAnsi" w:hAnsiTheme="majorHAnsi"/>
          <w:b/>
          <w:sz w:val="22"/>
          <w:szCs w:val="22"/>
          <w:u w:val="single"/>
        </w:rPr>
      </w:pPr>
    </w:p>
    <w:p w:rsidR="009129B6" w:rsidRPr="009129B6" w:rsidRDefault="009129B6" w:rsidP="00F04E16">
      <w:pPr>
        <w:tabs>
          <w:tab w:val="left" w:pos="8640"/>
        </w:tabs>
        <w:rPr>
          <w:rFonts w:asciiTheme="majorHAnsi" w:hAnsiTheme="majorHAnsi"/>
          <w:b/>
          <w:sz w:val="22"/>
          <w:szCs w:val="22"/>
          <w:u w:val="single"/>
        </w:rPr>
      </w:pPr>
      <w:r w:rsidRPr="009129B6">
        <w:rPr>
          <w:rFonts w:asciiTheme="majorHAnsi" w:hAnsiTheme="majorHAnsi"/>
          <w:b/>
          <w:sz w:val="22"/>
          <w:szCs w:val="22"/>
          <w:u w:val="single"/>
        </w:rPr>
        <w:t>Recommendations for Next Year’s Committee</w:t>
      </w:r>
    </w:p>
    <w:p w:rsidR="009129B6" w:rsidRDefault="009129B6" w:rsidP="00F04E16">
      <w:pPr>
        <w:tabs>
          <w:tab w:val="left" w:pos="8640"/>
        </w:tabs>
        <w:rPr>
          <w:rFonts w:asciiTheme="majorHAnsi" w:hAnsiTheme="majorHAnsi"/>
          <w:sz w:val="22"/>
          <w:szCs w:val="22"/>
        </w:rPr>
      </w:pPr>
    </w:p>
    <w:tbl>
      <w:tblPr>
        <w:tblStyle w:val="TableGrid"/>
        <w:tblW w:w="0" w:type="auto"/>
        <w:tblLook w:val="04A0" w:firstRow="1" w:lastRow="0" w:firstColumn="1" w:lastColumn="0" w:noHBand="0" w:noVBand="1"/>
      </w:tblPr>
      <w:tblGrid>
        <w:gridCol w:w="3342"/>
        <w:gridCol w:w="3342"/>
        <w:gridCol w:w="2604"/>
      </w:tblGrid>
      <w:tr w:rsidR="009129B6" w:rsidTr="00F04E16">
        <w:tc>
          <w:tcPr>
            <w:tcW w:w="3342" w:type="dxa"/>
          </w:tcPr>
          <w:p w:rsidR="009129B6" w:rsidRPr="00E17846" w:rsidRDefault="00A16583" w:rsidP="00F04E16">
            <w:pPr>
              <w:tabs>
                <w:tab w:val="left" w:pos="8640"/>
              </w:tabs>
              <w:rPr>
                <w:rFonts w:asciiTheme="majorHAnsi" w:hAnsiTheme="majorHAnsi"/>
                <w:b/>
                <w:sz w:val="22"/>
                <w:szCs w:val="22"/>
              </w:rPr>
            </w:pPr>
            <w:r>
              <w:rPr>
                <w:rFonts w:asciiTheme="majorHAnsi" w:hAnsiTheme="majorHAnsi"/>
                <w:b/>
                <w:sz w:val="22"/>
                <w:szCs w:val="22"/>
              </w:rPr>
              <w:t>Key g</w:t>
            </w:r>
            <w:r w:rsidR="009129B6" w:rsidRPr="00E17846">
              <w:rPr>
                <w:rFonts w:asciiTheme="majorHAnsi" w:hAnsiTheme="majorHAnsi"/>
                <w:b/>
                <w:sz w:val="22"/>
                <w:szCs w:val="22"/>
              </w:rPr>
              <w:t>oal</w:t>
            </w:r>
            <w:r w:rsidR="00D648BB">
              <w:rPr>
                <w:rFonts w:asciiTheme="majorHAnsi" w:hAnsiTheme="majorHAnsi"/>
                <w:b/>
                <w:sz w:val="22"/>
                <w:szCs w:val="22"/>
              </w:rPr>
              <w:t>s</w:t>
            </w:r>
          </w:p>
        </w:tc>
        <w:tc>
          <w:tcPr>
            <w:tcW w:w="3342" w:type="dxa"/>
          </w:tcPr>
          <w:p w:rsidR="009129B6" w:rsidRPr="00E17846" w:rsidRDefault="00A16583" w:rsidP="00F04E16">
            <w:pPr>
              <w:tabs>
                <w:tab w:val="left" w:pos="8640"/>
              </w:tabs>
              <w:rPr>
                <w:rFonts w:asciiTheme="majorHAnsi" w:hAnsiTheme="majorHAnsi"/>
                <w:b/>
                <w:sz w:val="22"/>
                <w:szCs w:val="22"/>
              </w:rPr>
            </w:pPr>
            <w:r>
              <w:rPr>
                <w:rFonts w:asciiTheme="majorHAnsi" w:hAnsiTheme="majorHAnsi"/>
                <w:b/>
                <w:sz w:val="22"/>
                <w:szCs w:val="22"/>
              </w:rPr>
              <w:t>Key t</w:t>
            </w:r>
            <w:r w:rsidR="009129B6" w:rsidRPr="00E17846">
              <w:rPr>
                <w:rFonts w:asciiTheme="majorHAnsi" w:hAnsiTheme="majorHAnsi"/>
                <w:b/>
                <w:sz w:val="22"/>
                <w:szCs w:val="22"/>
              </w:rPr>
              <w:t>asks connected to the goal</w:t>
            </w:r>
          </w:p>
        </w:tc>
        <w:tc>
          <w:tcPr>
            <w:tcW w:w="2604" w:type="dxa"/>
          </w:tcPr>
          <w:p w:rsidR="009129B6" w:rsidRPr="00E17846" w:rsidRDefault="009129B6" w:rsidP="00F04E16">
            <w:pPr>
              <w:tabs>
                <w:tab w:val="left" w:pos="8640"/>
              </w:tabs>
              <w:rPr>
                <w:rFonts w:asciiTheme="majorHAnsi" w:hAnsiTheme="majorHAnsi"/>
                <w:b/>
                <w:sz w:val="22"/>
                <w:szCs w:val="22"/>
              </w:rPr>
            </w:pPr>
            <w:r w:rsidRPr="00E17846">
              <w:rPr>
                <w:rFonts w:asciiTheme="majorHAnsi" w:hAnsiTheme="majorHAnsi"/>
                <w:b/>
                <w:sz w:val="22"/>
                <w:szCs w:val="22"/>
              </w:rPr>
              <w:t>Suggested date for completion of tasks</w:t>
            </w:r>
          </w:p>
        </w:tc>
      </w:tr>
      <w:tr w:rsidR="00E17846" w:rsidTr="00F04E16">
        <w:tc>
          <w:tcPr>
            <w:tcW w:w="3342" w:type="dxa"/>
          </w:tcPr>
          <w:p w:rsidR="00F04E16" w:rsidRDefault="00F04E16" w:rsidP="002542DF">
            <w:pPr>
              <w:tabs>
                <w:tab w:val="left" w:pos="8640"/>
              </w:tabs>
              <w:rPr>
                <w:rFonts w:asciiTheme="majorHAnsi" w:hAnsiTheme="majorHAnsi"/>
                <w:sz w:val="22"/>
                <w:szCs w:val="22"/>
              </w:rPr>
            </w:pPr>
            <w:r>
              <w:rPr>
                <w:rFonts w:asciiTheme="majorHAnsi" w:hAnsiTheme="majorHAnsi"/>
                <w:sz w:val="22"/>
                <w:szCs w:val="22"/>
              </w:rPr>
              <w:t xml:space="preserve">Continue discussion of </w:t>
            </w:r>
            <w:r w:rsidR="00663599">
              <w:rPr>
                <w:rFonts w:asciiTheme="majorHAnsi" w:hAnsiTheme="majorHAnsi"/>
                <w:sz w:val="22"/>
                <w:szCs w:val="22"/>
              </w:rPr>
              <w:t>entrepreneurial</w:t>
            </w:r>
            <w:r>
              <w:rPr>
                <w:rFonts w:asciiTheme="majorHAnsi" w:hAnsiTheme="majorHAnsi"/>
                <w:sz w:val="22"/>
                <w:szCs w:val="22"/>
              </w:rPr>
              <w:t xml:space="preserve"> activities to identify opportunities and threats</w:t>
            </w:r>
            <w:r w:rsidR="007D03E9">
              <w:rPr>
                <w:rFonts w:asciiTheme="majorHAnsi" w:hAnsiTheme="majorHAnsi"/>
                <w:sz w:val="22"/>
                <w:szCs w:val="22"/>
              </w:rPr>
              <w:t xml:space="preserve">; revisit strategic plan and the discussion of identifying an “outreach and partnership rainmaker” to support innovation, help locate funding, and/or build collaborative partnership with people with relevant experience. Current entrepreneurial conversations tend to be around off book programming, but we think BAC may want to revisit a broader definition of entrepreneurship consistent with </w:t>
            </w:r>
            <w:r w:rsidR="002542DF">
              <w:rPr>
                <w:rFonts w:asciiTheme="majorHAnsi" w:hAnsiTheme="majorHAnsi"/>
                <w:sz w:val="22"/>
                <w:szCs w:val="22"/>
              </w:rPr>
              <w:t>COE</w:t>
            </w:r>
            <w:r w:rsidR="007D03E9">
              <w:rPr>
                <w:rFonts w:asciiTheme="majorHAnsi" w:hAnsiTheme="majorHAnsi"/>
                <w:sz w:val="22"/>
                <w:szCs w:val="22"/>
              </w:rPr>
              <w:t xml:space="preserve"> strategic plan.</w:t>
            </w:r>
          </w:p>
        </w:tc>
        <w:tc>
          <w:tcPr>
            <w:tcW w:w="3342" w:type="dxa"/>
          </w:tcPr>
          <w:p w:rsidR="00E17846" w:rsidRDefault="00E17846" w:rsidP="00F04E16">
            <w:pPr>
              <w:tabs>
                <w:tab w:val="left" w:pos="8640"/>
              </w:tabs>
              <w:rPr>
                <w:rFonts w:asciiTheme="majorHAnsi" w:hAnsiTheme="majorHAnsi"/>
                <w:sz w:val="22"/>
                <w:szCs w:val="22"/>
              </w:rPr>
            </w:pPr>
            <w:r>
              <w:rPr>
                <w:rFonts w:asciiTheme="majorHAnsi" w:hAnsiTheme="majorHAnsi"/>
                <w:sz w:val="22"/>
                <w:szCs w:val="22"/>
              </w:rPr>
              <w:t>Invite key personnel involved in these activities</w:t>
            </w:r>
            <w:r w:rsidR="00F04E16">
              <w:rPr>
                <w:rFonts w:asciiTheme="majorHAnsi" w:hAnsiTheme="majorHAnsi"/>
                <w:sz w:val="22"/>
                <w:szCs w:val="22"/>
              </w:rPr>
              <w:t xml:space="preserve"> to discuss</w:t>
            </w:r>
            <w:r>
              <w:rPr>
                <w:rFonts w:asciiTheme="majorHAnsi" w:hAnsiTheme="majorHAnsi"/>
                <w:sz w:val="22"/>
                <w:szCs w:val="22"/>
              </w:rPr>
              <w:t>; review current and future project</w:t>
            </w:r>
            <w:r w:rsidR="007D03E9">
              <w:rPr>
                <w:rFonts w:asciiTheme="majorHAnsi" w:hAnsiTheme="majorHAnsi"/>
                <w:sz w:val="22"/>
                <w:szCs w:val="22"/>
              </w:rPr>
              <w:t>s; advise FPC; review strategic plan language on entrepreneurial activities</w:t>
            </w:r>
            <w:r w:rsidR="002542DF">
              <w:rPr>
                <w:rFonts w:asciiTheme="majorHAnsi" w:hAnsiTheme="majorHAnsi"/>
                <w:sz w:val="22"/>
                <w:szCs w:val="22"/>
              </w:rPr>
              <w:t>; discuss concept of “rainmaker”</w:t>
            </w:r>
          </w:p>
          <w:p w:rsidR="00960326" w:rsidRDefault="00960326" w:rsidP="00F04E16">
            <w:pPr>
              <w:tabs>
                <w:tab w:val="left" w:pos="8640"/>
              </w:tabs>
              <w:rPr>
                <w:rFonts w:asciiTheme="majorHAnsi" w:hAnsiTheme="majorHAnsi"/>
                <w:sz w:val="22"/>
                <w:szCs w:val="22"/>
              </w:rPr>
            </w:pPr>
          </w:p>
        </w:tc>
        <w:tc>
          <w:tcPr>
            <w:tcW w:w="2604" w:type="dxa"/>
          </w:tcPr>
          <w:p w:rsidR="00E17846" w:rsidRDefault="00E17846" w:rsidP="00F04E16">
            <w:pPr>
              <w:tabs>
                <w:tab w:val="left" w:pos="8640"/>
              </w:tabs>
              <w:rPr>
                <w:rFonts w:asciiTheme="majorHAnsi" w:hAnsiTheme="majorHAnsi"/>
                <w:sz w:val="22"/>
                <w:szCs w:val="22"/>
              </w:rPr>
            </w:pPr>
            <w:r>
              <w:rPr>
                <w:rFonts w:asciiTheme="majorHAnsi" w:hAnsiTheme="majorHAnsi"/>
                <w:sz w:val="22"/>
                <w:szCs w:val="22"/>
              </w:rPr>
              <w:t>On-going</w:t>
            </w:r>
          </w:p>
        </w:tc>
      </w:tr>
      <w:tr w:rsidR="009129B6" w:rsidTr="00F04E16">
        <w:tc>
          <w:tcPr>
            <w:tcW w:w="3342" w:type="dxa"/>
          </w:tcPr>
          <w:p w:rsidR="00960326" w:rsidRDefault="009129B6" w:rsidP="00F04E16">
            <w:pPr>
              <w:tabs>
                <w:tab w:val="left" w:pos="8640"/>
              </w:tabs>
              <w:rPr>
                <w:rFonts w:asciiTheme="majorHAnsi" w:hAnsiTheme="majorHAnsi"/>
                <w:sz w:val="22"/>
                <w:szCs w:val="22"/>
              </w:rPr>
            </w:pPr>
            <w:r>
              <w:rPr>
                <w:rFonts w:asciiTheme="majorHAnsi" w:hAnsiTheme="majorHAnsi"/>
                <w:sz w:val="22"/>
                <w:szCs w:val="22"/>
              </w:rPr>
              <w:t>Continue review of policies and procedures for budget decisions across college</w:t>
            </w:r>
            <w:r w:rsidR="007D03E9">
              <w:rPr>
                <w:rFonts w:asciiTheme="majorHAnsi" w:hAnsiTheme="majorHAnsi"/>
                <w:sz w:val="22"/>
                <w:szCs w:val="22"/>
              </w:rPr>
              <w:t>.</w:t>
            </w:r>
          </w:p>
        </w:tc>
        <w:tc>
          <w:tcPr>
            <w:tcW w:w="3342" w:type="dxa"/>
          </w:tcPr>
          <w:p w:rsidR="009129B6" w:rsidRPr="00F04E16" w:rsidRDefault="00F04E16" w:rsidP="00F04E16">
            <w:pPr>
              <w:tabs>
                <w:tab w:val="left" w:pos="8640"/>
              </w:tabs>
              <w:rPr>
                <w:rFonts w:asciiTheme="majorHAnsi" w:hAnsiTheme="majorHAnsi"/>
                <w:sz w:val="22"/>
                <w:szCs w:val="22"/>
              </w:rPr>
            </w:pPr>
            <w:r w:rsidRPr="00F04E16">
              <w:rPr>
                <w:rFonts w:asciiTheme="majorHAnsi" w:hAnsiTheme="majorHAnsi"/>
                <w:sz w:val="22"/>
                <w:szCs w:val="22"/>
              </w:rPr>
              <w:t>On-going monthly budget updates</w:t>
            </w:r>
            <w:r>
              <w:rPr>
                <w:rFonts w:asciiTheme="majorHAnsi" w:hAnsiTheme="majorHAnsi"/>
                <w:sz w:val="22"/>
                <w:szCs w:val="22"/>
              </w:rPr>
              <w:t xml:space="preserve">; </w:t>
            </w:r>
            <w:r w:rsidR="009129B6" w:rsidRPr="00F04E16">
              <w:rPr>
                <w:rFonts w:asciiTheme="majorHAnsi" w:hAnsiTheme="majorHAnsi"/>
                <w:sz w:val="22"/>
                <w:szCs w:val="22"/>
              </w:rPr>
              <w:t>continue COE/Dean’s</w:t>
            </w:r>
            <w:r w:rsidRPr="00F04E16">
              <w:rPr>
                <w:rFonts w:asciiTheme="majorHAnsi" w:hAnsiTheme="majorHAnsi"/>
                <w:sz w:val="22"/>
                <w:szCs w:val="22"/>
              </w:rPr>
              <w:t xml:space="preserve"> </w:t>
            </w:r>
            <w:r w:rsidR="009129B6" w:rsidRPr="00F04E16">
              <w:rPr>
                <w:rFonts w:asciiTheme="majorHAnsi" w:hAnsiTheme="majorHAnsi"/>
                <w:sz w:val="22"/>
                <w:szCs w:val="22"/>
              </w:rPr>
              <w:t>Budget Forum</w:t>
            </w:r>
          </w:p>
        </w:tc>
        <w:tc>
          <w:tcPr>
            <w:tcW w:w="2604" w:type="dxa"/>
          </w:tcPr>
          <w:p w:rsidR="009129B6" w:rsidRDefault="009129B6" w:rsidP="00F04E16">
            <w:pPr>
              <w:tabs>
                <w:tab w:val="left" w:pos="8640"/>
              </w:tabs>
              <w:rPr>
                <w:rFonts w:asciiTheme="majorHAnsi" w:hAnsiTheme="majorHAnsi"/>
                <w:sz w:val="22"/>
                <w:szCs w:val="22"/>
              </w:rPr>
            </w:pPr>
            <w:r>
              <w:rPr>
                <w:rFonts w:asciiTheme="majorHAnsi" w:hAnsiTheme="majorHAnsi"/>
                <w:sz w:val="22"/>
                <w:szCs w:val="22"/>
              </w:rPr>
              <w:t>On-going</w:t>
            </w:r>
          </w:p>
        </w:tc>
      </w:tr>
      <w:tr w:rsidR="009129B6" w:rsidTr="007D03E9">
        <w:trPr>
          <w:trHeight w:val="1961"/>
        </w:trPr>
        <w:tc>
          <w:tcPr>
            <w:tcW w:w="3342" w:type="dxa"/>
          </w:tcPr>
          <w:p w:rsidR="00F04E16" w:rsidRDefault="00D05302" w:rsidP="00F04E16">
            <w:pPr>
              <w:tabs>
                <w:tab w:val="left" w:pos="8640"/>
              </w:tabs>
              <w:rPr>
                <w:rFonts w:asciiTheme="majorHAnsi" w:hAnsiTheme="majorHAnsi"/>
                <w:sz w:val="22"/>
                <w:szCs w:val="22"/>
              </w:rPr>
            </w:pPr>
            <w:r>
              <w:rPr>
                <w:rFonts w:asciiTheme="majorHAnsi" w:hAnsiTheme="majorHAnsi"/>
                <w:sz w:val="22"/>
                <w:szCs w:val="22"/>
              </w:rPr>
              <w:t>Discuss merit outcomes from summer 2014 if merit was allocated.  Consider wider discussion of existing policies in each school as well as challenges that occurred in current year’s merit allocation.</w:t>
            </w:r>
          </w:p>
        </w:tc>
        <w:tc>
          <w:tcPr>
            <w:tcW w:w="3342" w:type="dxa"/>
          </w:tcPr>
          <w:p w:rsidR="00960326" w:rsidRDefault="00960326" w:rsidP="00960326">
            <w:pPr>
              <w:tabs>
                <w:tab w:val="left" w:pos="8640"/>
              </w:tabs>
              <w:rPr>
                <w:rFonts w:asciiTheme="majorHAnsi" w:hAnsiTheme="majorHAnsi"/>
                <w:sz w:val="22"/>
                <w:szCs w:val="22"/>
              </w:rPr>
            </w:pPr>
            <w:r>
              <w:rPr>
                <w:rFonts w:asciiTheme="majorHAnsi" w:hAnsiTheme="majorHAnsi"/>
                <w:sz w:val="22"/>
                <w:szCs w:val="22"/>
              </w:rPr>
              <w:t>Get merit outcomes from business office;  discuss whether this is a continued topic for BAC or not at an early BAC meeting next year</w:t>
            </w:r>
            <w:r w:rsidR="007D03E9">
              <w:rPr>
                <w:rFonts w:asciiTheme="majorHAnsi" w:hAnsiTheme="majorHAnsi"/>
                <w:sz w:val="22"/>
                <w:szCs w:val="22"/>
              </w:rPr>
              <w:t>.</w:t>
            </w:r>
          </w:p>
        </w:tc>
        <w:tc>
          <w:tcPr>
            <w:tcW w:w="2604" w:type="dxa"/>
          </w:tcPr>
          <w:p w:rsidR="009129B6" w:rsidRDefault="00960326" w:rsidP="00F04E16">
            <w:pPr>
              <w:tabs>
                <w:tab w:val="left" w:pos="8640"/>
              </w:tabs>
              <w:rPr>
                <w:rFonts w:asciiTheme="majorHAnsi" w:hAnsiTheme="majorHAnsi"/>
                <w:sz w:val="22"/>
                <w:szCs w:val="22"/>
              </w:rPr>
            </w:pPr>
            <w:r>
              <w:rPr>
                <w:rFonts w:asciiTheme="majorHAnsi" w:hAnsiTheme="majorHAnsi"/>
                <w:sz w:val="22"/>
                <w:szCs w:val="22"/>
              </w:rPr>
              <w:t>October</w:t>
            </w:r>
          </w:p>
        </w:tc>
      </w:tr>
      <w:tr w:rsidR="009129B6" w:rsidTr="00F04E16">
        <w:tc>
          <w:tcPr>
            <w:tcW w:w="3342" w:type="dxa"/>
          </w:tcPr>
          <w:p w:rsidR="00F04E16" w:rsidRDefault="00420946" w:rsidP="00F04E16">
            <w:pPr>
              <w:tabs>
                <w:tab w:val="left" w:pos="8640"/>
              </w:tabs>
              <w:rPr>
                <w:rFonts w:asciiTheme="majorHAnsi" w:hAnsiTheme="majorHAnsi"/>
                <w:sz w:val="22"/>
                <w:szCs w:val="22"/>
              </w:rPr>
            </w:pPr>
            <w:r>
              <w:rPr>
                <w:rFonts w:asciiTheme="majorHAnsi" w:hAnsiTheme="majorHAnsi"/>
                <w:sz w:val="22"/>
                <w:szCs w:val="22"/>
              </w:rPr>
              <w:t>Quick review of IDC and salary savings policies to ensure all are in place for each school and the college (HDOSE and COE were both missing Salary Savings at the time of this report)</w:t>
            </w:r>
          </w:p>
        </w:tc>
        <w:tc>
          <w:tcPr>
            <w:tcW w:w="3342" w:type="dxa"/>
          </w:tcPr>
          <w:p w:rsidR="009129B6" w:rsidRDefault="00420946" w:rsidP="00F04E16">
            <w:pPr>
              <w:tabs>
                <w:tab w:val="left" w:pos="8640"/>
              </w:tabs>
              <w:rPr>
                <w:rFonts w:asciiTheme="majorHAnsi" w:hAnsiTheme="majorHAnsi"/>
                <w:sz w:val="22"/>
                <w:szCs w:val="22"/>
              </w:rPr>
            </w:pPr>
            <w:r>
              <w:rPr>
                <w:rFonts w:asciiTheme="majorHAnsi" w:hAnsiTheme="majorHAnsi"/>
                <w:sz w:val="22"/>
                <w:szCs w:val="22"/>
              </w:rPr>
              <w:t>Collect and review any missing IDC and Salary Savings policies; ensure they are posted on each school website; continue periodic review of content of all policies every few years.</w:t>
            </w:r>
          </w:p>
        </w:tc>
        <w:tc>
          <w:tcPr>
            <w:tcW w:w="2604" w:type="dxa"/>
          </w:tcPr>
          <w:p w:rsidR="009129B6" w:rsidRDefault="00420946" w:rsidP="00F04E16">
            <w:pPr>
              <w:tabs>
                <w:tab w:val="left" w:pos="8640"/>
              </w:tabs>
              <w:rPr>
                <w:rFonts w:asciiTheme="majorHAnsi" w:hAnsiTheme="majorHAnsi"/>
                <w:sz w:val="22"/>
                <w:szCs w:val="22"/>
              </w:rPr>
            </w:pPr>
            <w:r>
              <w:rPr>
                <w:rFonts w:asciiTheme="majorHAnsi" w:hAnsiTheme="majorHAnsi"/>
                <w:sz w:val="22"/>
                <w:szCs w:val="22"/>
              </w:rPr>
              <w:t>October/November; on-going</w:t>
            </w:r>
          </w:p>
        </w:tc>
      </w:tr>
      <w:tr w:rsidR="00F31FDA" w:rsidTr="00F04E16">
        <w:tc>
          <w:tcPr>
            <w:tcW w:w="3342" w:type="dxa"/>
          </w:tcPr>
          <w:p w:rsidR="00F31FDA" w:rsidRDefault="00F31FDA" w:rsidP="00F04E16">
            <w:pPr>
              <w:tabs>
                <w:tab w:val="left" w:pos="8640"/>
              </w:tabs>
              <w:rPr>
                <w:rFonts w:asciiTheme="majorHAnsi" w:hAnsiTheme="majorHAnsi"/>
                <w:sz w:val="22"/>
                <w:szCs w:val="22"/>
              </w:rPr>
            </w:pPr>
            <w:r>
              <w:rPr>
                <w:rFonts w:asciiTheme="majorHAnsi" w:hAnsiTheme="majorHAnsi"/>
                <w:sz w:val="22"/>
                <w:szCs w:val="22"/>
              </w:rPr>
              <w:t xml:space="preserve">Follow up with FPC agenda committee on clarifying where school level policies are located (such as merit, IDC, and salary </w:t>
            </w:r>
            <w:r>
              <w:rPr>
                <w:rFonts w:asciiTheme="majorHAnsi" w:hAnsiTheme="majorHAnsi"/>
                <w:sz w:val="22"/>
                <w:szCs w:val="22"/>
              </w:rPr>
              <w:lastRenderedPageBreak/>
              <w:t>savings policies). This may go to another committee other than BAC, but since we discussed these policies in 13-14 it became clear to us that these policies are not always easy to find on the COE and school websites. It was suggested that FPC create a template for faculty-related documents to be posted on each school’s website.</w:t>
            </w:r>
          </w:p>
        </w:tc>
        <w:tc>
          <w:tcPr>
            <w:tcW w:w="3342" w:type="dxa"/>
          </w:tcPr>
          <w:p w:rsidR="00F31FDA" w:rsidRDefault="00F31FDA" w:rsidP="00F04E16">
            <w:pPr>
              <w:tabs>
                <w:tab w:val="left" w:pos="8640"/>
              </w:tabs>
              <w:rPr>
                <w:rFonts w:asciiTheme="majorHAnsi" w:hAnsiTheme="majorHAnsi"/>
                <w:sz w:val="22"/>
                <w:szCs w:val="22"/>
              </w:rPr>
            </w:pPr>
            <w:r>
              <w:rPr>
                <w:rFonts w:asciiTheme="majorHAnsi" w:hAnsiTheme="majorHAnsi"/>
                <w:sz w:val="22"/>
                <w:szCs w:val="22"/>
              </w:rPr>
              <w:lastRenderedPageBreak/>
              <w:t>Follow up with FPC chair and agenda committee on which committee seems appropriate to handle this task.</w:t>
            </w:r>
          </w:p>
        </w:tc>
        <w:tc>
          <w:tcPr>
            <w:tcW w:w="2604" w:type="dxa"/>
          </w:tcPr>
          <w:p w:rsidR="00F31FDA" w:rsidRDefault="00F31FDA" w:rsidP="00F04E16">
            <w:pPr>
              <w:tabs>
                <w:tab w:val="left" w:pos="8640"/>
              </w:tabs>
              <w:rPr>
                <w:rFonts w:asciiTheme="majorHAnsi" w:hAnsiTheme="majorHAnsi"/>
                <w:sz w:val="22"/>
                <w:szCs w:val="22"/>
              </w:rPr>
            </w:pPr>
            <w:r>
              <w:rPr>
                <w:rFonts w:asciiTheme="majorHAnsi" w:hAnsiTheme="majorHAnsi"/>
                <w:sz w:val="22"/>
                <w:szCs w:val="22"/>
              </w:rPr>
              <w:t>September/October</w:t>
            </w:r>
          </w:p>
        </w:tc>
      </w:tr>
    </w:tbl>
    <w:p w:rsidR="00CF3C97" w:rsidRPr="00FB1E84" w:rsidRDefault="00CF3C97" w:rsidP="00F04E16">
      <w:pPr>
        <w:tabs>
          <w:tab w:val="left" w:pos="8640"/>
        </w:tabs>
        <w:rPr>
          <w:rFonts w:asciiTheme="majorHAnsi" w:hAnsiTheme="majorHAnsi"/>
          <w:sz w:val="22"/>
          <w:szCs w:val="22"/>
        </w:rPr>
      </w:pPr>
    </w:p>
    <w:p w:rsidR="005430D4" w:rsidRPr="00FB1E84" w:rsidRDefault="005430D4" w:rsidP="00F04E16">
      <w:pPr>
        <w:tabs>
          <w:tab w:val="left" w:pos="8640"/>
        </w:tabs>
        <w:rPr>
          <w:rFonts w:asciiTheme="majorHAnsi" w:hAnsiTheme="majorHAnsi"/>
          <w:sz w:val="22"/>
          <w:szCs w:val="22"/>
        </w:rPr>
      </w:pPr>
    </w:p>
    <w:p w:rsidR="00FB1E84" w:rsidRPr="00AE6F7E" w:rsidRDefault="00FB1E84" w:rsidP="00F04E16">
      <w:pPr>
        <w:pStyle w:val="NoSpacing"/>
        <w:tabs>
          <w:tab w:val="left" w:pos="8640"/>
        </w:tabs>
        <w:ind w:left="-90" w:hanging="360"/>
        <w:rPr>
          <w:b/>
        </w:rPr>
      </w:pPr>
    </w:p>
    <w:sectPr w:rsidR="00FB1E84" w:rsidRPr="00AE6F7E" w:rsidSect="00F04E16">
      <w:head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36" w:rsidRDefault="00F77036" w:rsidP="00E61E5F">
      <w:r>
        <w:separator/>
      </w:r>
    </w:p>
  </w:endnote>
  <w:endnote w:type="continuationSeparator" w:id="0">
    <w:p w:rsidR="00F77036" w:rsidRDefault="00F77036" w:rsidP="00E6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36" w:rsidRDefault="00F77036" w:rsidP="00E61E5F">
      <w:r>
        <w:separator/>
      </w:r>
    </w:p>
  </w:footnote>
  <w:footnote w:type="continuationSeparator" w:id="0">
    <w:p w:rsidR="00F77036" w:rsidRDefault="00F77036" w:rsidP="00E61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5F" w:rsidRDefault="00F04E16" w:rsidP="00E61E5F">
    <w:pPr>
      <w:pStyle w:val="Header"/>
      <w:jc w:val="right"/>
    </w:pPr>
    <w:r>
      <w:t xml:space="preserve"> BAC Report  2013-14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E2"/>
    <w:multiLevelType w:val="hybridMultilevel"/>
    <w:tmpl w:val="48C05F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274100"/>
    <w:multiLevelType w:val="hybridMultilevel"/>
    <w:tmpl w:val="D7C6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85B39"/>
    <w:multiLevelType w:val="hybridMultilevel"/>
    <w:tmpl w:val="D82818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88F4BF8"/>
    <w:multiLevelType w:val="hybridMultilevel"/>
    <w:tmpl w:val="545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197E"/>
    <w:multiLevelType w:val="hybridMultilevel"/>
    <w:tmpl w:val="769CAECE"/>
    <w:lvl w:ilvl="0" w:tplc="B19652C8">
      <w:start w:val="1"/>
      <w:numFmt w:val="bullet"/>
      <w:lvlText w:val="•"/>
      <w:lvlJc w:val="left"/>
      <w:pPr>
        <w:tabs>
          <w:tab w:val="num" w:pos="720"/>
        </w:tabs>
        <w:ind w:left="720" w:hanging="360"/>
      </w:pPr>
      <w:rPr>
        <w:rFonts w:ascii="Arial" w:hAnsi="Arial" w:hint="default"/>
      </w:rPr>
    </w:lvl>
    <w:lvl w:ilvl="1" w:tplc="43186DC0">
      <w:start w:val="442"/>
      <w:numFmt w:val="bullet"/>
      <w:lvlText w:val="–"/>
      <w:lvlJc w:val="left"/>
      <w:pPr>
        <w:tabs>
          <w:tab w:val="num" w:pos="1440"/>
        </w:tabs>
        <w:ind w:left="1440" w:hanging="360"/>
      </w:pPr>
      <w:rPr>
        <w:rFonts w:ascii="Arial" w:hAnsi="Arial" w:hint="default"/>
      </w:rPr>
    </w:lvl>
    <w:lvl w:ilvl="2" w:tplc="E36C5792" w:tentative="1">
      <w:start w:val="1"/>
      <w:numFmt w:val="bullet"/>
      <w:lvlText w:val="•"/>
      <w:lvlJc w:val="left"/>
      <w:pPr>
        <w:tabs>
          <w:tab w:val="num" w:pos="2160"/>
        </w:tabs>
        <w:ind w:left="2160" w:hanging="360"/>
      </w:pPr>
      <w:rPr>
        <w:rFonts w:ascii="Arial" w:hAnsi="Arial" w:hint="default"/>
      </w:rPr>
    </w:lvl>
    <w:lvl w:ilvl="3" w:tplc="08E2274C" w:tentative="1">
      <w:start w:val="1"/>
      <w:numFmt w:val="bullet"/>
      <w:lvlText w:val="•"/>
      <w:lvlJc w:val="left"/>
      <w:pPr>
        <w:tabs>
          <w:tab w:val="num" w:pos="2880"/>
        </w:tabs>
        <w:ind w:left="2880" w:hanging="360"/>
      </w:pPr>
      <w:rPr>
        <w:rFonts w:ascii="Arial" w:hAnsi="Arial" w:hint="default"/>
      </w:rPr>
    </w:lvl>
    <w:lvl w:ilvl="4" w:tplc="D18C9962" w:tentative="1">
      <w:start w:val="1"/>
      <w:numFmt w:val="bullet"/>
      <w:lvlText w:val="•"/>
      <w:lvlJc w:val="left"/>
      <w:pPr>
        <w:tabs>
          <w:tab w:val="num" w:pos="3600"/>
        </w:tabs>
        <w:ind w:left="3600" w:hanging="360"/>
      </w:pPr>
      <w:rPr>
        <w:rFonts w:ascii="Arial" w:hAnsi="Arial" w:hint="default"/>
      </w:rPr>
    </w:lvl>
    <w:lvl w:ilvl="5" w:tplc="C96A7924" w:tentative="1">
      <w:start w:val="1"/>
      <w:numFmt w:val="bullet"/>
      <w:lvlText w:val="•"/>
      <w:lvlJc w:val="left"/>
      <w:pPr>
        <w:tabs>
          <w:tab w:val="num" w:pos="4320"/>
        </w:tabs>
        <w:ind w:left="4320" w:hanging="360"/>
      </w:pPr>
      <w:rPr>
        <w:rFonts w:ascii="Arial" w:hAnsi="Arial" w:hint="default"/>
      </w:rPr>
    </w:lvl>
    <w:lvl w:ilvl="6" w:tplc="D54A2E40" w:tentative="1">
      <w:start w:val="1"/>
      <w:numFmt w:val="bullet"/>
      <w:lvlText w:val="•"/>
      <w:lvlJc w:val="left"/>
      <w:pPr>
        <w:tabs>
          <w:tab w:val="num" w:pos="5040"/>
        </w:tabs>
        <w:ind w:left="5040" w:hanging="360"/>
      </w:pPr>
      <w:rPr>
        <w:rFonts w:ascii="Arial" w:hAnsi="Arial" w:hint="default"/>
      </w:rPr>
    </w:lvl>
    <w:lvl w:ilvl="7" w:tplc="D5A6EA1E" w:tentative="1">
      <w:start w:val="1"/>
      <w:numFmt w:val="bullet"/>
      <w:lvlText w:val="•"/>
      <w:lvlJc w:val="left"/>
      <w:pPr>
        <w:tabs>
          <w:tab w:val="num" w:pos="5760"/>
        </w:tabs>
        <w:ind w:left="5760" w:hanging="360"/>
      </w:pPr>
      <w:rPr>
        <w:rFonts w:ascii="Arial" w:hAnsi="Arial" w:hint="default"/>
      </w:rPr>
    </w:lvl>
    <w:lvl w:ilvl="8" w:tplc="356601C4" w:tentative="1">
      <w:start w:val="1"/>
      <w:numFmt w:val="bullet"/>
      <w:lvlText w:val="•"/>
      <w:lvlJc w:val="left"/>
      <w:pPr>
        <w:tabs>
          <w:tab w:val="num" w:pos="6480"/>
        </w:tabs>
        <w:ind w:left="6480" w:hanging="360"/>
      </w:pPr>
      <w:rPr>
        <w:rFonts w:ascii="Arial" w:hAnsi="Arial" w:hint="default"/>
      </w:rPr>
    </w:lvl>
  </w:abstractNum>
  <w:abstractNum w:abstractNumId="5">
    <w:nsid w:val="2352443B"/>
    <w:multiLevelType w:val="hybridMultilevel"/>
    <w:tmpl w:val="A70A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77A6A"/>
    <w:multiLevelType w:val="hybridMultilevel"/>
    <w:tmpl w:val="024EB7A8"/>
    <w:lvl w:ilvl="0" w:tplc="029A4C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A7E20"/>
    <w:multiLevelType w:val="hybridMultilevel"/>
    <w:tmpl w:val="BDB4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7410D"/>
    <w:multiLevelType w:val="hybridMultilevel"/>
    <w:tmpl w:val="957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C663F"/>
    <w:multiLevelType w:val="hybridMultilevel"/>
    <w:tmpl w:val="41C46674"/>
    <w:lvl w:ilvl="0" w:tplc="F9FE0D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70DA7"/>
    <w:multiLevelType w:val="hybridMultilevel"/>
    <w:tmpl w:val="48C05F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C7D3FDB"/>
    <w:multiLevelType w:val="hybridMultilevel"/>
    <w:tmpl w:val="8AC6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41DB6"/>
    <w:multiLevelType w:val="hybridMultilevel"/>
    <w:tmpl w:val="3162DA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442E5328"/>
    <w:multiLevelType w:val="hybridMultilevel"/>
    <w:tmpl w:val="5F6401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D4D70"/>
    <w:multiLevelType w:val="hybridMultilevel"/>
    <w:tmpl w:val="258EFB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661456E3"/>
    <w:multiLevelType w:val="hybridMultilevel"/>
    <w:tmpl w:val="294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5"/>
  </w:num>
  <w:num w:numId="5">
    <w:abstractNumId w:val="4"/>
  </w:num>
  <w:num w:numId="6">
    <w:abstractNumId w:val="9"/>
  </w:num>
  <w:num w:numId="7">
    <w:abstractNumId w:val="6"/>
  </w:num>
  <w:num w:numId="8">
    <w:abstractNumId w:val="3"/>
  </w:num>
  <w:num w:numId="9">
    <w:abstractNumId w:val="1"/>
  </w:num>
  <w:num w:numId="10">
    <w:abstractNumId w:val="14"/>
  </w:num>
  <w:num w:numId="11">
    <w:abstractNumId w:val="12"/>
  </w:num>
  <w:num w:numId="12">
    <w:abstractNumId w:val="2"/>
  </w:num>
  <w:num w:numId="13">
    <w:abstractNumId w:val="0"/>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E"/>
    <w:rsid w:val="00000934"/>
    <w:rsid w:val="0003486B"/>
    <w:rsid w:val="00064AE5"/>
    <w:rsid w:val="00071275"/>
    <w:rsid w:val="000C281A"/>
    <w:rsid w:val="00132029"/>
    <w:rsid w:val="001900E4"/>
    <w:rsid w:val="001A75E5"/>
    <w:rsid w:val="001D48F5"/>
    <w:rsid w:val="002423DA"/>
    <w:rsid w:val="002542DF"/>
    <w:rsid w:val="002920E7"/>
    <w:rsid w:val="002D4F11"/>
    <w:rsid w:val="002F5043"/>
    <w:rsid w:val="0032236D"/>
    <w:rsid w:val="003552B1"/>
    <w:rsid w:val="0037731E"/>
    <w:rsid w:val="0038712F"/>
    <w:rsid w:val="003C1C54"/>
    <w:rsid w:val="00420946"/>
    <w:rsid w:val="00432B8E"/>
    <w:rsid w:val="00435517"/>
    <w:rsid w:val="0046058A"/>
    <w:rsid w:val="004655CD"/>
    <w:rsid w:val="004660C4"/>
    <w:rsid w:val="00471276"/>
    <w:rsid w:val="004B036B"/>
    <w:rsid w:val="005430D4"/>
    <w:rsid w:val="00567988"/>
    <w:rsid w:val="005A263D"/>
    <w:rsid w:val="005C4CED"/>
    <w:rsid w:val="005D3B97"/>
    <w:rsid w:val="005E0E57"/>
    <w:rsid w:val="005F043E"/>
    <w:rsid w:val="00600839"/>
    <w:rsid w:val="006033F6"/>
    <w:rsid w:val="0062575F"/>
    <w:rsid w:val="006479FA"/>
    <w:rsid w:val="00663599"/>
    <w:rsid w:val="006A00FA"/>
    <w:rsid w:val="006E0612"/>
    <w:rsid w:val="006E2F29"/>
    <w:rsid w:val="006F09C5"/>
    <w:rsid w:val="007475AE"/>
    <w:rsid w:val="007D03E9"/>
    <w:rsid w:val="008A6CB3"/>
    <w:rsid w:val="008C1FC7"/>
    <w:rsid w:val="009129B6"/>
    <w:rsid w:val="00960326"/>
    <w:rsid w:val="00964ACF"/>
    <w:rsid w:val="009D5F60"/>
    <w:rsid w:val="009E2F9D"/>
    <w:rsid w:val="009F60EA"/>
    <w:rsid w:val="00A16583"/>
    <w:rsid w:val="00A512A6"/>
    <w:rsid w:val="00A5573D"/>
    <w:rsid w:val="00A95190"/>
    <w:rsid w:val="00AA08EE"/>
    <w:rsid w:val="00AE04EE"/>
    <w:rsid w:val="00AE6F7E"/>
    <w:rsid w:val="00B26758"/>
    <w:rsid w:val="00B474D9"/>
    <w:rsid w:val="00B62379"/>
    <w:rsid w:val="00BD65D5"/>
    <w:rsid w:val="00C16583"/>
    <w:rsid w:val="00C31F8C"/>
    <w:rsid w:val="00C86F05"/>
    <w:rsid w:val="00C93CC7"/>
    <w:rsid w:val="00C9544C"/>
    <w:rsid w:val="00CB712C"/>
    <w:rsid w:val="00CF3C97"/>
    <w:rsid w:val="00D05302"/>
    <w:rsid w:val="00D26418"/>
    <w:rsid w:val="00D35C60"/>
    <w:rsid w:val="00D648BB"/>
    <w:rsid w:val="00D73413"/>
    <w:rsid w:val="00D73505"/>
    <w:rsid w:val="00E07463"/>
    <w:rsid w:val="00E17846"/>
    <w:rsid w:val="00E61E5F"/>
    <w:rsid w:val="00E64768"/>
    <w:rsid w:val="00ED14F2"/>
    <w:rsid w:val="00ED20B4"/>
    <w:rsid w:val="00EF6E27"/>
    <w:rsid w:val="00F04E16"/>
    <w:rsid w:val="00F234C5"/>
    <w:rsid w:val="00F31FDA"/>
    <w:rsid w:val="00F40AA1"/>
    <w:rsid w:val="00F43F5D"/>
    <w:rsid w:val="00F77036"/>
    <w:rsid w:val="00F94C97"/>
    <w:rsid w:val="00FB1E84"/>
    <w:rsid w:val="00FE55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 w:type="paragraph" w:styleId="NoSpacing">
    <w:name w:val="No Spacing"/>
    <w:uiPriority w:val="1"/>
    <w:qFormat/>
    <w:rsid w:val="000C281A"/>
    <w:pPr>
      <w:spacing w:after="0"/>
    </w:pPr>
    <w:rPr>
      <w:rFonts w:eastAsiaTheme="minorHAnsi"/>
      <w:sz w:val="22"/>
      <w:szCs w:val="22"/>
      <w:lang w:eastAsia="en-US"/>
    </w:rPr>
  </w:style>
  <w:style w:type="paragraph" w:styleId="PlainText">
    <w:name w:val="Plain Text"/>
    <w:basedOn w:val="Normal"/>
    <w:link w:val="PlainTextChar"/>
    <w:uiPriority w:val="99"/>
    <w:unhideWhenUsed/>
    <w:rsid w:val="001D48F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D48F5"/>
    <w:rPr>
      <w:rFonts w:ascii="Calibri" w:eastAsiaTheme="minorHAnsi" w:hAnsi="Calibri" w:cs="Calibri"/>
      <w:sz w:val="22"/>
      <w:szCs w:val="22"/>
      <w:lang w:eastAsia="en-US"/>
    </w:rPr>
  </w:style>
  <w:style w:type="character" w:styleId="Strong">
    <w:name w:val="Strong"/>
    <w:basedOn w:val="DefaultParagraphFont"/>
    <w:uiPriority w:val="22"/>
    <w:qFormat/>
    <w:rsid w:val="000009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 w:type="paragraph" w:styleId="NoSpacing">
    <w:name w:val="No Spacing"/>
    <w:uiPriority w:val="1"/>
    <w:qFormat/>
    <w:rsid w:val="000C281A"/>
    <w:pPr>
      <w:spacing w:after="0"/>
    </w:pPr>
    <w:rPr>
      <w:rFonts w:eastAsiaTheme="minorHAnsi"/>
      <w:sz w:val="22"/>
      <w:szCs w:val="22"/>
      <w:lang w:eastAsia="en-US"/>
    </w:rPr>
  </w:style>
  <w:style w:type="paragraph" w:styleId="PlainText">
    <w:name w:val="Plain Text"/>
    <w:basedOn w:val="Normal"/>
    <w:link w:val="PlainTextChar"/>
    <w:uiPriority w:val="99"/>
    <w:unhideWhenUsed/>
    <w:rsid w:val="001D48F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D48F5"/>
    <w:rPr>
      <w:rFonts w:ascii="Calibri" w:eastAsiaTheme="minorHAnsi" w:hAnsi="Calibri" w:cs="Calibri"/>
      <w:sz w:val="22"/>
      <w:szCs w:val="22"/>
      <w:lang w:eastAsia="en-US"/>
    </w:rPr>
  </w:style>
  <w:style w:type="character" w:styleId="Strong">
    <w:name w:val="Strong"/>
    <w:basedOn w:val="DefaultParagraphFont"/>
    <w:uiPriority w:val="22"/>
    <w:qFormat/>
    <w:rsid w:val="00000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010">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2062249047">
      <w:bodyDiv w:val="1"/>
      <w:marLeft w:val="0"/>
      <w:marRight w:val="0"/>
      <w:marTop w:val="0"/>
      <w:marBottom w:val="0"/>
      <w:divBdr>
        <w:top w:val="none" w:sz="0" w:space="0" w:color="auto"/>
        <w:left w:val="none" w:sz="0" w:space="0" w:color="auto"/>
        <w:bottom w:val="none" w:sz="0" w:space="0" w:color="auto"/>
        <w:right w:val="none" w:sz="0" w:space="0" w:color="auto"/>
      </w:divBdr>
      <w:divsChild>
        <w:div w:id="637957086">
          <w:marLeft w:val="547"/>
          <w:marRight w:val="0"/>
          <w:marTop w:val="130"/>
          <w:marBottom w:val="0"/>
          <w:divBdr>
            <w:top w:val="none" w:sz="0" w:space="0" w:color="auto"/>
            <w:left w:val="none" w:sz="0" w:space="0" w:color="auto"/>
            <w:bottom w:val="none" w:sz="0" w:space="0" w:color="auto"/>
            <w:right w:val="none" w:sz="0" w:space="0" w:color="auto"/>
          </w:divBdr>
        </w:div>
        <w:div w:id="2101948930">
          <w:marLeft w:val="547"/>
          <w:marRight w:val="0"/>
          <w:marTop w:val="130"/>
          <w:marBottom w:val="0"/>
          <w:divBdr>
            <w:top w:val="none" w:sz="0" w:space="0" w:color="auto"/>
            <w:left w:val="none" w:sz="0" w:space="0" w:color="auto"/>
            <w:bottom w:val="none" w:sz="0" w:space="0" w:color="auto"/>
            <w:right w:val="none" w:sz="0" w:space="0" w:color="auto"/>
          </w:divBdr>
        </w:div>
        <w:div w:id="2001813113">
          <w:marLeft w:val="1166"/>
          <w:marRight w:val="0"/>
          <w:marTop w:val="115"/>
          <w:marBottom w:val="0"/>
          <w:divBdr>
            <w:top w:val="none" w:sz="0" w:space="0" w:color="auto"/>
            <w:left w:val="none" w:sz="0" w:space="0" w:color="auto"/>
            <w:bottom w:val="none" w:sz="0" w:space="0" w:color="auto"/>
            <w:right w:val="none" w:sz="0" w:space="0" w:color="auto"/>
          </w:divBdr>
        </w:div>
        <w:div w:id="500044291">
          <w:marLeft w:val="1166"/>
          <w:marRight w:val="0"/>
          <w:marTop w:val="115"/>
          <w:marBottom w:val="0"/>
          <w:divBdr>
            <w:top w:val="none" w:sz="0" w:space="0" w:color="auto"/>
            <w:left w:val="none" w:sz="0" w:space="0" w:color="auto"/>
            <w:bottom w:val="none" w:sz="0" w:space="0" w:color="auto"/>
            <w:right w:val="none" w:sz="0" w:space="0" w:color="auto"/>
          </w:divBdr>
        </w:div>
        <w:div w:id="48917556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cation.ufl.edu/budgetary-affairs-committee/minutes/" TargetMode="External"/><Relationship Id="rId10" Type="http://schemas.openxmlformats.org/officeDocument/2006/relationships/hyperlink" Target="http://education.ufl.edu/faculty-poli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FA3E0-21E6-6E46-B215-201C1397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Dorene Ross</dc:creator>
  <cp:lastModifiedBy>Todd McCardle</cp:lastModifiedBy>
  <cp:revision>2</cp:revision>
  <cp:lastPrinted>2013-04-10T17:12:00Z</cp:lastPrinted>
  <dcterms:created xsi:type="dcterms:W3CDTF">2014-08-21T21:22:00Z</dcterms:created>
  <dcterms:modified xsi:type="dcterms:W3CDTF">2014-08-21T21:22:00Z</dcterms:modified>
</cp:coreProperties>
</file>