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99B3" w14:textId="77777777" w:rsidR="00526350" w:rsidRPr="001276DA" w:rsidRDefault="00526350" w:rsidP="00526350">
      <w:pPr>
        <w:jc w:val="center"/>
        <w:rPr>
          <w:rFonts w:cstheme="minorHAnsi"/>
          <w:color w:val="000000" w:themeColor="text1"/>
        </w:rPr>
      </w:pPr>
      <w:r w:rsidRPr="001276DA">
        <w:rPr>
          <w:rFonts w:cstheme="minorHAnsi"/>
          <w:color w:val="000000" w:themeColor="text1"/>
        </w:rPr>
        <w:t>UF College of Education</w:t>
      </w:r>
    </w:p>
    <w:p w14:paraId="5D3A44F0" w14:textId="77777777" w:rsidR="00526350" w:rsidRPr="001276DA" w:rsidRDefault="00526350" w:rsidP="00526350">
      <w:pPr>
        <w:jc w:val="center"/>
        <w:rPr>
          <w:rFonts w:cstheme="minorHAnsi"/>
          <w:color w:val="000000" w:themeColor="text1"/>
        </w:rPr>
      </w:pPr>
      <w:r w:rsidRPr="001276DA">
        <w:rPr>
          <w:rFonts w:cstheme="minorHAnsi"/>
          <w:color w:val="000000" w:themeColor="text1"/>
        </w:rPr>
        <w:t>Diversity &amp; Inclusion Committee</w:t>
      </w:r>
    </w:p>
    <w:p w14:paraId="1F738E05" w14:textId="77777777" w:rsidR="00526350" w:rsidRPr="001276DA" w:rsidRDefault="00526350" w:rsidP="00526350">
      <w:pPr>
        <w:jc w:val="center"/>
        <w:rPr>
          <w:rFonts w:cstheme="minorHAnsi"/>
          <w:color w:val="000000" w:themeColor="text1"/>
        </w:rPr>
      </w:pPr>
      <w:r w:rsidRPr="001276DA">
        <w:rPr>
          <w:rFonts w:cstheme="minorHAnsi"/>
          <w:color w:val="000000" w:themeColor="text1"/>
        </w:rPr>
        <w:t>October 20, 2020</w:t>
      </w:r>
    </w:p>
    <w:p w14:paraId="72B09D41" w14:textId="7C40E06D" w:rsidR="00526350" w:rsidRDefault="00526350" w:rsidP="00526350">
      <w:pPr>
        <w:jc w:val="center"/>
        <w:rPr>
          <w:rFonts w:cstheme="minorHAnsi"/>
          <w:color w:val="000000" w:themeColor="text1"/>
        </w:rPr>
      </w:pPr>
      <w:r w:rsidRPr="001276DA">
        <w:rPr>
          <w:rFonts w:cstheme="minorHAnsi"/>
          <w:color w:val="000000" w:themeColor="text1"/>
        </w:rPr>
        <w:t>3:00 p.m. – 4:00 p.m.</w:t>
      </w:r>
    </w:p>
    <w:p w14:paraId="66504ED3" w14:textId="3072EE8D" w:rsidR="00526350" w:rsidRPr="00526350" w:rsidRDefault="00526350" w:rsidP="00526350">
      <w:pPr>
        <w:jc w:val="center"/>
        <w:rPr>
          <w:rFonts w:cstheme="minorHAnsi"/>
          <w:b/>
          <w:color w:val="000000" w:themeColor="text1"/>
        </w:rPr>
      </w:pPr>
      <w:r w:rsidRPr="00526350">
        <w:rPr>
          <w:rFonts w:cstheme="minorHAnsi"/>
          <w:b/>
          <w:color w:val="000000" w:themeColor="text1"/>
        </w:rPr>
        <w:t xml:space="preserve">Meeting Minutes </w:t>
      </w:r>
    </w:p>
    <w:p w14:paraId="55209B18" w14:textId="77777777" w:rsidR="00F9310E" w:rsidRDefault="00F9310E" w:rsidP="00F9310E">
      <w:pPr>
        <w:rPr>
          <w:rFonts w:cstheme="minorHAnsi"/>
          <w:b/>
          <w:color w:val="000000" w:themeColor="text1"/>
        </w:rPr>
      </w:pPr>
    </w:p>
    <w:p w14:paraId="30A3A0F7" w14:textId="68BAFD09" w:rsidR="00F9310E" w:rsidRPr="00DE2FA2" w:rsidRDefault="00245E18" w:rsidP="00F9310E">
      <w:pPr>
        <w:rPr>
          <w:rFonts w:cstheme="minorHAnsi"/>
          <w:b/>
          <w:color w:val="000000" w:themeColor="text1"/>
        </w:rPr>
      </w:pPr>
      <w:r>
        <w:rPr>
          <w:rFonts w:cstheme="minorHAnsi"/>
          <w:b/>
          <w:color w:val="000000" w:themeColor="text1"/>
        </w:rPr>
        <w:t>FPC Members:</w:t>
      </w:r>
    </w:p>
    <w:p w14:paraId="1062EC30" w14:textId="77777777" w:rsidR="00F9310E" w:rsidRDefault="00F9310E" w:rsidP="00F9310E">
      <w:pPr>
        <w:rPr>
          <w:rFonts w:cstheme="minorHAnsi"/>
          <w:color w:val="000000" w:themeColor="text1"/>
        </w:rPr>
      </w:pPr>
      <w:r>
        <w:rPr>
          <w:rFonts w:cstheme="minorHAnsi"/>
          <w:color w:val="000000" w:themeColor="text1"/>
        </w:rPr>
        <w:t xml:space="preserve">Lindsey Chapman, </w:t>
      </w:r>
      <w:r w:rsidRPr="00DE2FA2">
        <w:rPr>
          <w:rFonts w:cstheme="minorHAnsi"/>
          <w:i/>
          <w:color w:val="000000" w:themeColor="text1"/>
        </w:rPr>
        <w:t>SESPECS</w:t>
      </w:r>
    </w:p>
    <w:p w14:paraId="3E0BB9B7" w14:textId="77777777" w:rsidR="00F9310E" w:rsidRDefault="00F9310E" w:rsidP="00F9310E">
      <w:pPr>
        <w:rPr>
          <w:rFonts w:cstheme="minorHAnsi"/>
          <w:color w:val="000000" w:themeColor="text1"/>
        </w:rPr>
      </w:pPr>
      <w:r>
        <w:rPr>
          <w:rFonts w:cstheme="minorHAnsi"/>
          <w:color w:val="000000" w:themeColor="text1"/>
        </w:rPr>
        <w:t xml:space="preserve">Hannah Bayne, </w:t>
      </w:r>
      <w:r w:rsidRPr="00DE2FA2">
        <w:rPr>
          <w:rFonts w:cstheme="minorHAnsi"/>
          <w:i/>
          <w:color w:val="000000" w:themeColor="text1"/>
        </w:rPr>
        <w:t xml:space="preserve">SESPECS </w:t>
      </w:r>
    </w:p>
    <w:p w14:paraId="58639069" w14:textId="77777777" w:rsidR="00F9310E" w:rsidRDefault="00F9310E" w:rsidP="00F9310E">
      <w:pPr>
        <w:rPr>
          <w:rFonts w:cstheme="minorHAnsi"/>
          <w:i/>
          <w:color w:val="000000" w:themeColor="text1"/>
        </w:rPr>
      </w:pPr>
      <w:r>
        <w:rPr>
          <w:rFonts w:cstheme="minorHAnsi"/>
          <w:color w:val="000000" w:themeColor="text1"/>
        </w:rPr>
        <w:t xml:space="preserve">Elliot Woehler, </w:t>
      </w:r>
      <w:r w:rsidRPr="00DE2FA2">
        <w:rPr>
          <w:rFonts w:cstheme="minorHAnsi"/>
          <w:i/>
          <w:color w:val="000000" w:themeColor="text1"/>
        </w:rPr>
        <w:t>HDOSE</w:t>
      </w:r>
    </w:p>
    <w:p w14:paraId="5A5AB195" w14:textId="688A356F" w:rsidR="00245E18" w:rsidRDefault="00245E18" w:rsidP="00F9310E">
      <w:pPr>
        <w:rPr>
          <w:rFonts w:cstheme="minorHAnsi"/>
          <w:color w:val="000000" w:themeColor="text1"/>
        </w:rPr>
      </w:pPr>
      <w:r>
        <w:rPr>
          <w:rFonts w:cstheme="minorHAnsi"/>
          <w:color w:val="000000" w:themeColor="text1"/>
        </w:rPr>
        <w:t xml:space="preserve">Joni Splett, </w:t>
      </w:r>
      <w:r w:rsidRPr="00DE2FA2">
        <w:rPr>
          <w:rFonts w:cstheme="minorHAnsi"/>
          <w:i/>
          <w:color w:val="000000" w:themeColor="text1"/>
        </w:rPr>
        <w:t>HDOSE</w:t>
      </w:r>
      <w:r>
        <w:rPr>
          <w:rFonts w:cstheme="minorHAnsi"/>
          <w:i/>
          <w:color w:val="000000" w:themeColor="text1"/>
        </w:rPr>
        <w:t xml:space="preserve"> (absent)</w:t>
      </w:r>
    </w:p>
    <w:p w14:paraId="039C5829" w14:textId="77777777" w:rsidR="00F9310E" w:rsidRDefault="00F9310E" w:rsidP="00F9310E">
      <w:pPr>
        <w:rPr>
          <w:rFonts w:cstheme="minorHAnsi"/>
          <w:color w:val="000000" w:themeColor="text1"/>
        </w:rPr>
      </w:pPr>
      <w:r>
        <w:rPr>
          <w:rFonts w:cstheme="minorHAnsi"/>
          <w:color w:val="000000" w:themeColor="text1"/>
        </w:rPr>
        <w:t xml:space="preserve">Taryrn Brown, </w:t>
      </w:r>
      <w:r w:rsidRPr="00974240">
        <w:rPr>
          <w:rFonts w:cstheme="minorHAnsi"/>
          <w:i/>
          <w:color w:val="000000" w:themeColor="text1"/>
        </w:rPr>
        <w:t xml:space="preserve">STL </w:t>
      </w:r>
    </w:p>
    <w:p w14:paraId="6E433562" w14:textId="77777777" w:rsidR="00245E18" w:rsidRDefault="00F9310E" w:rsidP="00F9310E">
      <w:pPr>
        <w:rPr>
          <w:rFonts w:cstheme="minorHAnsi"/>
          <w:color w:val="000000" w:themeColor="text1"/>
        </w:rPr>
      </w:pPr>
      <w:r>
        <w:rPr>
          <w:rFonts w:cstheme="minorHAnsi"/>
          <w:color w:val="000000" w:themeColor="text1"/>
        </w:rPr>
        <w:t xml:space="preserve">Gage Jeter, </w:t>
      </w:r>
      <w:r w:rsidRPr="00DE2FA2">
        <w:rPr>
          <w:rFonts w:cstheme="minorHAnsi"/>
          <w:i/>
          <w:color w:val="000000" w:themeColor="text1"/>
        </w:rPr>
        <w:t>STL/FPC – Chair</w:t>
      </w:r>
      <w:r>
        <w:rPr>
          <w:rFonts w:cstheme="minorHAnsi"/>
          <w:color w:val="000000" w:themeColor="text1"/>
        </w:rPr>
        <w:t xml:space="preserve"> </w:t>
      </w:r>
    </w:p>
    <w:p w14:paraId="67160CDE" w14:textId="77777777" w:rsidR="00245E18" w:rsidRDefault="00245E18" w:rsidP="00245E18">
      <w:pPr>
        <w:rPr>
          <w:rFonts w:cstheme="minorHAnsi"/>
          <w:color w:val="000000" w:themeColor="text1"/>
        </w:rPr>
      </w:pPr>
    </w:p>
    <w:p w14:paraId="078C1801" w14:textId="7C7BD40F" w:rsidR="00245E18" w:rsidRPr="00245E18" w:rsidRDefault="00245E18" w:rsidP="00245E18">
      <w:pPr>
        <w:rPr>
          <w:rFonts w:cstheme="minorHAnsi"/>
          <w:b/>
          <w:color w:val="000000" w:themeColor="text1"/>
        </w:rPr>
      </w:pPr>
      <w:r>
        <w:rPr>
          <w:rFonts w:cstheme="minorHAnsi"/>
          <w:b/>
          <w:color w:val="000000" w:themeColor="text1"/>
        </w:rPr>
        <w:t>Dean’s Office</w:t>
      </w:r>
    </w:p>
    <w:p w14:paraId="605DFFEE" w14:textId="7EE119E6" w:rsidR="00F9310E" w:rsidRPr="00245E18" w:rsidRDefault="00245E18" w:rsidP="00F9310E">
      <w:pPr>
        <w:rPr>
          <w:rFonts w:cstheme="minorHAnsi"/>
          <w:color w:val="000000" w:themeColor="text1"/>
        </w:rPr>
      </w:pPr>
      <w:r>
        <w:rPr>
          <w:rFonts w:cstheme="minorHAnsi"/>
          <w:color w:val="000000" w:themeColor="text1"/>
        </w:rPr>
        <w:t xml:space="preserve">Maria Leite, </w:t>
      </w:r>
      <w:r w:rsidRPr="00245E18">
        <w:rPr>
          <w:rFonts w:cstheme="minorHAnsi"/>
          <w:i/>
          <w:color w:val="000000" w:themeColor="text1"/>
        </w:rPr>
        <w:t>Coordinator College Assessment &amp; Diversity Initiatives</w:t>
      </w:r>
    </w:p>
    <w:p w14:paraId="6A4703A8" w14:textId="1CAB8CAF" w:rsidR="00F9310E" w:rsidRDefault="00F9310E" w:rsidP="00F9310E">
      <w:pPr>
        <w:rPr>
          <w:rFonts w:cstheme="minorHAnsi"/>
          <w:color w:val="000000" w:themeColor="text1"/>
        </w:rPr>
      </w:pPr>
      <w:r>
        <w:rPr>
          <w:rFonts w:cstheme="minorHAnsi"/>
          <w:color w:val="000000" w:themeColor="text1"/>
        </w:rPr>
        <w:t xml:space="preserve">Nancy Waldron, </w:t>
      </w:r>
      <w:r w:rsidRPr="00DE2FA2">
        <w:rPr>
          <w:rFonts w:cstheme="minorHAnsi"/>
          <w:i/>
          <w:color w:val="000000" w:themeColor="text1"/>
        </w:rPr>
        <w:t>Dean’s Office</w:t>
      </w:r>
      <w:r w:rsidR="00245E18">
        <w:rPr>
          <w:rFonts w:cstheme="minorHAnsi"/>
          <w:i/>
          <w:color w:val="000000" w:themeColor="text1"/>
        </w:rPr>
        <w:t xml:space="preserve"> Rep</w:t>
      </w:r>
    </w:p>
    <w:p w14:paraId="443667C5" w14:textId="7637D485" w:rsidR="00526350" w:rsidRDefault="00526350" w:rsidP="00F9310E">
      <w:pPr>
        <w:rPr>
          <w:rFonts w:cstheme="minorHAnsi"/>
          <w:color w:val="000000" w:themeColor="text1"/>
        </w:rPr>
      </w:pPr>
    </w:p>
    <w:p w14:paraId="4E7877F0" w14:textId="77777777" w:rsidR="00F9310E" w:rsidRDefault="008471C7" w:rsidP="00F9310E">
      <w:pPr>
        <w:pStyle w:val="ListParagraph"/>
        <w:numPr>
          <w:ilvl w:val="0"/>
          <w:numId w:val="5"/>
        </w:numPr>
      </w:pPr>
      <w:r>
        <w:t>CBSA f</w:t>
      </w:r>
      <w:r w:rsidR="00B426E0">
        <w:t xml:space="preserve">unding </w:t>
      </w:r>
      <w:r>
        <w:t xml:space="preserve">opportunities for subcommittees </w:t>
      </w:r>
      <w:r w:rsidR="00526350">
        <w:t xml:space="preserve">are not exclusive of </w:t>
      </w:r>
      <w:r w:rsidR="00B426E0">
        <w:t xml:space="preserve">other </w:t>
      </w:r>
      <w:r w:rsidR="00526350">
        <w:t xml:space="preserve">COE </w:t>
      </w:r>
      <w:r w:rsidR="00B426E0">
        <w:t xml:space="preserve">committees (i.e. FPC D&amp;I) </w:t>
      </w:r>
    </w:p>
    <w:p w14:paraId="3FBF2004" w14:textId="77777777" w:rsidR="00F9310E" w:rsidRDefault="00526350" w:rsidP="00F9310E">
      <w:pPr>
        <w:pStyle w:val="ListParagraph"/>
        <w:numPr>
          <w:ilvl w:val="1"/>
          <w:numId w:val="5"/>
        </w:numPr>
      </w:pPr>
      <w:r>
        <w:t>There exist c</w:t>
      </w:r>
      <w:r w:rsidR="00B426E0">
        <w:t>rossovers among the multiple subcommittees in the collective and FPC committees, so it is an option for us to submit a request if we’d like</w:t>
      </w:r>
      <w:r>
        <w:t>.</w:t>
      </w:r>
    </w:p>
    <w:p w14:paraId="0EB0A86C" w14:textId="5DC6B8C4" w:rsidR="00F9310E" w:rsidRPr="00F9310E" w:rsidRDefault="00526350" w:rsidP="00F9310E">
      <w:pPr>
        <w:pStyle w:val="ListParagraph"/>
        <w:numPr>
          <w:ilvl w:val="1"/>
          <w:numId w:val="5"/>
        </w:numPr>
        <w:rPr>
          <w:rStyle w:val="apple-converted-space"/>
        </w:rPr>
      </w:pPr>
      <w:r>
        <w:t>Therefore, we submitted the following request to Mirela on Friday, 10/23 i</w:t>
      </w:r>
      <w:r w:rsidRPr="00F9310E">
        <w:rPr>
          <w:rFonts w:ascii="Calibri" w:hAnsi="Calibri" w:cs="Calibri"/>
          <w:color w:val="000000"/>
          <w:sz w:val="22"/>
          <w:szCs w:val="22"/>
        </w:rPr>
        <w:t>n regards to our FPC D&amp;I committee’s priority initiative for this academic year, which is to</w:t>
      </w:r>
      <w:r w:rsidRPr="00F9310E">
        <w:rPr>
          <w:rStyle w:val="apple-converted-space"/>
          <w:rFonts w:ascii="Calibri" w:hAnsi="Calibri" w:cs="Calibri"/>
          <w:color w:val="000000"/>
          <w:sz w:val="22"/>
          <w:szCs w:val="22"/>
        </w:rPr>
        <w:t> </w:t>
      </w:r>
      <w:r w:rsidRPr="00F9310E">
        <w:rPr>
          <w:rFonts w:ascii="Calibri" w:hAnsi="Calibri" w:cs="Calibri"/>
          <w:b/>
          <w:bCs/>
          <w:color w:val="000000"/>
          <w:sz w:val="22"/>
          <w:szCs w:val="22"/>
        </w:rPr>
        <w:t>organize, coordinate, and follow-up on ongoing collaborative professional learning opportunities for instructors to critically examine and intentionally revise the design and delivery of current/future courses through a racial equity and, more specifically, an anti-racism and anti-black racism lens.</w:t>
      </w:r>
      <w:r w:rsidRPr="00F9310E">
        <w:rPr>
          <w:rStyle w:val="apple-converted-space"/>
          <w:rFonts w:ascii="Calibri" w:hAnsi="Calibri" w:cs="Calibri"/>
          <w:b/>
          <w:bCs/>
          <w:color w:val="000000"/>
          <w:sz w:val="22"/>
          <w:szCs w:val="22"/>
        </w:rPr>
        <w:t> </w:t>
      </w:r>
    </w:p>
    <w:p w14:paraId="2BAB2978" w14:textId="77777777" w:rsidR="00F9310E" w:rsidRPr="00F9310E" w:rsidRDefault="00F9310E" w:rsidP="00F9310E">
      <w:pPr>
        <w:ind w:left="1080"/>
        <w:rPr>
          <w:rStyle w:val="apple-converted-space"/>
        </w:rPr>
      </w:pPr>
    </w:p>
    <w:tbl>
      <w:tblPr>
        <w:tblStyle w:val="TableGrid"/>
        <w:tblW w:w="0" w:type="auto"/>
        <w:jc w:val="center"/>
        <w:tblLook w:val="04A0" w:firstRow="1" w:lastRow="0" w:firstColumn="1" w:lastColumn="0" w:noHBand="0" w:noVBand="1"/>
      </w:tblPr>
      <w:tblGrid>
        <w:gridCol w:w="10329"/>
      </w:tblGrid>
      <w:tr w:rsidR="00F9310E" w14:paraId="649C55A6" w14:textId="77777777" w:rsidTr="008D2204">
        <w:trPr>
          <w:jc w:val="center"/>
        </w:trPr>
        <w:tc>
          <w:tcPr>
            <w:tcW w:w="0" w:type="auto"/>
          </w:tcPr>
          <w:p w14:paraId="6FD6CAB3" w14:textId="77777777" w:rsidR="00F9310E" w:rsidRDefault="00F9310E" w:rsidP="00F9310E">
            <w:pPr>
              <w:ind w:left="360"/>
              <w:rPr>
                <w:rFonts w:ascii="Calibri" w:hAnsi="Calibri" w:cs="Calibri"/>
                <w:color w:val="000000"/>
                <w:sz w:val="22"/>
                <w:szCs w:val="22"/>
              </w:rPr>
            </w:pPr>
          </w:p>
          <w:p w14:paraId="4E940D7A" w14:textId="29E321E3" w:rsidR="00F9310E" w:rsidRDefault="00F9310E" w:rsidP="00F9310E">
            <w:pPr>
              <w:ind w:left="360"/>
              <w:rPr>
                <w:rStyle w:val="apple-converted-space"/>
              </w:rPr>
            </w:pPr>
            <w:r w:rsidRPr="00F9310E">
              <w:rPr>
                <w:rFonts w:ascii="Calibri" w:hAnsi="Calibri" w:cs="Calibri"/>
                <w:color w:val="000000"/>
                <w:sz w:val="22"/>
                <w:szCs w:val="22"/>
              </w:rPr>
              <w:t>A team of four committee members recently submitted a proposal for the UF Research Racial Justice grant – it’s currently under review though I’m unsure of when decisions will be announced. Regardless of the outcome, we were frustrated with the</w:t>
            </w:r>
            <w:r w:rsidRPr="00F9310E">
              <w:rPr>
                <w:rStyle w:val="apple-converted-space"/>
                <w:rFonts w:ascii="Calibri" w:hAnsi="Calibri" w:cs="Calibri"/>
                <w:color w:val="000000"/>
                <w:sz w:val="22"/>
                <w:szCs w:val="22"/>
              </w:rPr>
              <w:t> </w:t>
            </w:r>
            <w:r w:rsidRPr="00F9310E">
              <w:rPr>
                <w:rFonts w:ascii="Calibri" w:hAnsi="Calibri" w:cs="Calibri"/>
                <w:color w:val="000000"/>
                <w:sz w:val="22"/>
                <w:szCs w:val="22"/>
              </w:rPr>
              <w:t>way the guidelines were set up without intention to support faculty of color/black faculty. Though we did apply, we were constrained by bureaucratic barriers/constraints. More specifically, we wanted to support faculty – especially black faculty and faculty of color</w:t>
            </w:r>
            <w:r w:rsidR="008D2204">
              <w:rPr>
                <w:rFonts w:ascii="Calibri" w:hAnsi="Calibri" w:cs="Calibri"/>
                <w:color w:val="000000"/>
                <w:sz w:val="22"/>
                <w:szCs w:val="22"/>
              </w:rPr>
              <w:t xml:space="preserve"> </w:t>
            </w:r>
            <w:r w:rsidRPr="00F9310E">
              <w:rPr>
                <w:rFonts w:ascii="Calibri" w:hAnsi="Calibri" w:cs="Calibri"/>
                <w:color w:val="000000"/>
                <w:sz w:val="22"/>
                <w:szCs w:val="22"/>
              </w:rPr>
              <w:t>–</w:t>
            </w:r>
            <w:r w:rsidR="008D2204">
              <w:rPr>
                <w:rFonts w:ascii="Calibri" w:hAnsi="Calibri" w:cs="Calibri"/>
                <w:color w:val="000000"/>
                <w:sz w:val="22"/>
                <w:szCs w:val="22"/>
              </w:rPr>
              <w:t xml:space="preserve"> </w:t>
            </w:r>
            <w:r w:rsidRPr="00F9310E">
              <w:rPr>
                <w:rFonts w:ascii="Calibri" w:hAnsi="Calibri" w:cs="Calibri"/>
                <w:color w:val="000000"/>
                <w:sz w:val="22"/>
                <w:szCs w:val="22"/>
              </w:rPr>
              <w:t>to provide trainings and consultation but instead had to utilize (and compensate) outside resources for training/consultant work.</w:t>
            </w:r>
            <w:r w:rsidRPr="00F9310E">
              <w:rPr>
                <w:rStyle w:val="apple-converted-space"/>
                <w:rFonts w:ascii="Calibri" w:hAnsi="Calibri" w:cs="Calibri"/>
                <w:color w:val="000000"/>
                <w:sz w:val="22"/>
                <w:szCs w:val="22"/>
              </w:rPr>
              <w:t> </w:t>
            </w:r>
          </w:p>
          <w:p w14:paraId="20D5D744" w14:textId="77777777" w:rsidR="00F9310E" w:rsidRPr="00F9310E" w:rsidRDefault="00F9310E" w:rsidP="00F9310E">
            <w:pPr>
              <w:ind w:left="360"/>
              <w:rPr>
                <w:rFonts w:ascii="Calibri" w:hAnsi="Calibri" w:cs="Calibri"/>
                <w:color w:val="000000"/>
                <w:sz w:val="22"/>
                <w:szCs w:val="22"/>
              </w:rPr>
            </w:pPr>
          </w:p>
          <w:p w14:paraId="46B00C4B" w14:textId="77777777" w:rsidR="00F9310E" w:rsidRDefault="00F9310E" w:rsidP="00F9310E">
            <w:pPr>
              <w:ind w:left="360"/>
            </w:pPr>
            <w:r w:rsidRPr="00F9310E">
              <w:rPr>
                <w:rFonts w:ascii="Calibri" w:hAnsi="Calibri" w:cs="Calibri"/>
                <w:color w:val="000000"/>
                <w:sz w:val="22"/>
                <w:szCs w:val="22"/>
              </w:rPr>
              <w:t>As such, our priority is to acquire funding to support COE faculty and student trainers/consultants who agree to collaborate with our committee in the design and enactment of professional learning experiences. We are hoping for opportunities through the Supporting IDEA initiatives via Advancement subcommittee to work around these issues while also compensating black faculty and students engaged in anti-black racism teaching, research, and service – rather than adding to their work load without financial support.  </w:t>
            </w:r>
          </w:p>
          <w:p w14:paraId="6AD462C0" w14:textId="77777777" w:rsidR="00F9310E" w:rsidRPr="00F9310E" w:rsidRDefault="00F9310E" w:rsidP="00F9310E">
            <w:pPr>
              <w:ind w:left="360"/>
              <w:rPr>
                <w:rFonts w:ascii="Calibri" w:hAnsi="Calibri" w:cs="Calibri"/>
                <w:color w:val="000000"/>
                <w:sz w:val="22"/>
                <w:szCs w:val="22"/>
              </w:rPr>
            </w:pPr>
          </w:p>
          <w:p w14:paraId="70DD40DB" w14:textId="77777777" w:rsidR="00F9310E" w:rsidRDefault="00F9310E" w:rsidP="00F9310E">
            <w:pPr>
              <w:ind w:left="360"/>
              <w:rPr>
                <w:rStyle w:val="apple-converted-space"/>
              </w:rPr>
            </w:pPr>
            <w:r w:rsidRPr="00F9310E">
              <w:rPr>
                <w:rFonts w:ascii="Calibri" w:hAnsi="Calibri" w:cs="Calibri"/>
                <w:color w:val="000000"/>
                <w:sz w:val="22"/>
                <w:szCs w:val="22"/>
              </w:rPr>
              <w:t xml:space="preserve">Additionally, we also are considering modeling something off of FPC – Technology/Distance Ed “Blue Ribbon” course (buy in, course redesign, etc.) connected to our D&amp;I faculty award (launched just last year). The result might be exemplary/model syllabi and other artifacts that are part of the award application yet also become sustainable resources for instructors in and beyond professional learning experiences. So, a different or </w:t>
            </w:r>
            <w:r w:rsidRPr="00F9310E">
              <w:rPr>
                <w:rFonts w:ascii="Calibri" w:hAnsi="Calibri" w:cs="Calibri"/>
                <w:color w:val="000000"/>
                <w:sz w:val="22"/>
                <w:szCs w:val="22"/>
              </w:rPr>
              <w:lastRenderedPageBreak/>
              <w:t>other use of potential funding could be monetary stipends for award winners, which we hope would serve as an incentive to apply and contribute to our repository.</w:t>
            </w:r>
            <w:r w:rsidRPr="00F9310E">
              <w:rPr>
                <w:rStyle w:val="apple-converted-space"/>
                <w:rFonts w:ascii="Calibri" w:hAnsi="Calibri" w:cs="Calibri"/>
                <w:color w:val="000000"/>
                <w:sz w:val="22"/>
                <w:szCs w:val="22"/>
              </w:rPr>
              <w:t> </w:t>
            </w:r>
          </w:p>
          <w:p w14:paraId="5EE0795A" w14:textId="77777777" w:rsidR="00F9310E" w:rsidRDefault="00F9310E" w:rsidP="00F9310E">
            <w:pPr>
              <w:ind w:left="360"/>
              <w:rPr>
                <w:rStyle w:val="apple-converted-space"/>
              </w:rPr>
            </w:pPr>
          </w:p>
        </w:tc>
      </w:tr>
    </w:tbl>
    <w:p w14:paraId="3BD4CFE5" w14:textId="77777777" w:rsidR="00F9310E" w:rsidRDefault="00F9310E" w:rsidP="00F9310E">
      <w:pPr>
        <w:rPr>
          <w:rFonts w:ascii="Calibri" w:hAnsi="Calibri" w:cs="Calibri"/>
          <w:color w:val="000000"/>
          <w:sz w:val="22"/>
          <w:szCs w:val="22"/>
        </w:rPr>
      </w:pPr>
    </w:p>
    <w:p w14:paraId="52F58B56" w14:textId="13DF1E12" w:rsidR="00526350" w:rsidRDefault="00526350" w:rsidP="00F9310E">
      <w:pPr>
        <w:pStyle w:val="ListParagraph"/>
        <w:numPr>
          <w:ilvl w:val="0"/>
          <w:numId w:val="6"/>
        </w:numPr>
      </w:pPr>
      <w:r>
        <w:t>We discussed housing these resources on</w:t>
      </w:r>
      <w:r w:rsidRPr="00CC0CAC">
        <w:t xml:space="preserve"> </w:t>
      </w:r>
      <w:r>
        <w:t>C</w:t>
      </w:r>
      <w:r w:rsidRPr="00CC0CAC">
        <w:t xml:space="preserve">anvas </w:t>
      </w:r>
      <w:r>
        <w:t>as a “PD” course for sustainability.</w:t>
      </w:r>
    </w:p>
    <w:p w14:paraId="73904FDB" w14:textId="3945F862" w:rsidR="00526350" w:rsidRDefault="00526350" w:rsidP="00526350"/>
    <w:p w14:paraId="5C186777" w14:textId="3AF2DE47" w:rsidR="00F9310E" w:rsidRDefault="00F9310E" w:rsidP="00F9310E">
      <w:pPr>
        <w:pStyle w:val="ListParagraph"/>
        <w:numPr>
          <w:ilvl w:val="0"/>
          <w:numId w:val="5"/>
        </w:numPr>
      </w:pPr>
      <w:r>
        <w:t>November meeting will be scheduled via Doodle</w:t>
      </w:r>
      <w:r w:rsidR="00E17FC4">
        <w:t xml:space="preserve">: </w:t>
      </w:r>
      <w:hyperlink r:id="rId6" w:history="1">
        <w:r w:rsidR="00E17FC4" w:rsidRPr="00A313F4">
          <w:rPr>
            <w:rStyle w:val="Hyperlink"/>
          </w:rPr>
          <w:t>https://doodle.com/poll/vprgct83p6k57d8k?utm_source=poll&amp;utm_medium=link</w:t>
        </w:r>
      </w:hyperlink>
    </w:p>
    <w:p w14:paraId="32C9EF07" w14:textId="77777777" w:rsidR="00F9310E" w:rsidRDefault="00F9310E" w:rsidP="00E17FC4">
      <w:pPr>
        <w:pStyle w:val="ListParagraph"/>
      </w:pPr>
    </w:p>
    <w:p w14:paraId="11EED0C4" w14:textId="2F4630C6" w:rsidR="00F9310E" w:rsidRDefault="00526350" w:rsidP="00F9310E">
      <w:pPr>
        <w:pStyle w:val="ListParagraph"/>
        <w:numPr>
          <w:ilvl w:val="0"/>
          <w:numId w:val="5"/>
        </w:numPr>
      </w:pPr>
      <w:r>
        <w:t xml:space="preserve">Additional tasks for upcoming meetings: </w:t>
      </w:r>
    </w:p>
    <w:p w14:paraId="73B2B908" w14:textId="77777777" w:rsidR="00F9310E" w:rsidRPr="00F9310E" w:rsidRDefault="00526350" w:rsidP="00F9310E">
      <w:pPr>
        <w:pStyle w:val="ListParagraph"/>
        <w:numPr>
          <w:ilvl w:val="1"/>
          <w:numId w:val="5"/>
        </w:numPr>
      </w:pPr>
      <w:r w:rsidRPr="00F9310E">
        <w:rPr>
          <w:rFonts w:cstheme="minorHAnsi"/>
          <w:color w:val="000000" w:themeColor="text1"/>
        </w:rPr>
        <w:t xml:space="preserve">Continue workshopping mission statement (connected to our two other initiatives: </w:t>
      </w:r>
      <w:r w:rsidRPr="00F9310E">
        <w:rPr>
          <w:rFonts w:cstheme="minorHAnsi"/>
          <w:b/>
          <w:i/>
        </w:rPr>
        <w:t>(Re)define our committee’s role, purpose, and work within broader COE/UF initiatives</w:t>
      </w:r>
      <w:r w:rsidRPr="00F9310E">
        <w:rPr>
          <w:rFonts w:cstheme="minorHAnsi"/>
        </w:rPr>
        <w:t xml:space="preserve">; and </w:t>
      </w:r>
      <w:r w:rsidRPr="00F9310E">
        <w:rPr>
          <w:rFonts w:cstheme="minorHAnsi"/>
          <w:b/>
          <w:i/>
        </w:rPr>
        <w:t>revise our committee’s mission statement to more accurately reflect our role, purpose, and work</w:t>
      </w:r>
      <w:r w:rsidRPr="00F9310E">
        <w:rPr>
          <w:rFonts w:cstheme="minorHAnsi"/>
        </w:rPr>
        <w:t>)</w:t>
      </w:r>
    </w:p>
    <w:p w14:paraId="6FFA36F4" w14:textId="1CF96204" w:rsidR="00526350" w:rsidRPr="00554A3C" w:rsidRDefault="00526350" w:rsidP="00F9310E">
      <w:pPr>
        <w:pStyle w:val="ListParagraph"/>
        <w:numPr>
          <w:ilvl w:val="1"/>
          <w:numId w:val="5"/>
        </w:numPr>
      </w:pPr>
      <w:r w:rsidRPr="00F9310E">
        <w:rPr>
          <w:rFonts w:cstheme="minorHAnsi"/>
          <w:color w:val="000000" w:themeColor="text1"/>
        </w:rPr>
        <w:t>Schedule spring 2021 (Jan, Feb, March, April) meetings</w:t>
      </w:r>
    </w:p>
    <w:p w14:paraId="2631E834" w14:textId="0A2C7F31" w:rsidR="00554A3C" w:rsidRPr="00526350" w:rsidRDefault="00E55709" w:rsidP="00F9310E">
      <w:pPr>
        <w:pStyle w:val="ListParagraph"/>
        <w:numPr>
          <w:ilvl w:val="1"/>
          <w:numId w:val="5"/>
        </w:numPr>
      </w:pPr>
      <w:r>
        <w:t xml:space="preserve">Faculty </w:t>
      </w:r>
      <w:r w:rsidR="00554A3C">
        <w:t xml:space="preserve">D&amp;I </w:t>
      </w:r>
      <w:r>
        <w:t>A</w:t>
      </w:r>
      <w:r w:rsidR="00554A3C">
        <w:t xml:space="preserve">ward </w:t>
      </w:r>
    </w:p>
    <w:sectPr w:rsidR="00554A3C" w:rsidRPr="00526350" w:rsidSect="00E27B03">
      <w:type w:val="continuous"/>
      <w:pgSz w:w="12240" w:h="15840"/>
      <w:pgMar w:top="1397" w:right="936" w:bottom="1180" w:left="96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500C"/>
    <w:multiLevelType w:val="hybridMultilevel"/>
    <w:tmpl w:val="538EDBFC"/>
    <w:lvl w:ilvl="0" w:tplc="0F42B3CA">
      <w:start w:val="1"/>
      <w:numFmt w:val="decimal"/>
      <w:lvlText w:val="%1."/>
      <w:lvlJc w:val="left"/>
      <w:pPr>
        <w:ind w:left="720" w:hanging="360"/>
      </w:pPr>
      <w:rPr>
        <w:rFonts w:cstheme="minorHAnsi" w:hint="default"/>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163DF"/>
    <w:multiLevelType w:val="hybridMultilevel"/>
    <w:tmpl w:val="5502C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5ACF"/>
    <w:multiLevelType w:val="hybridMultilevel"/>
    <w:tmpl w:val="67D4CE62"/>
    <w:lvl w:ilvl="0" w:tplc="463490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4481B"/>
    <w:multiLevelType w:val="hybridMultilevel"/>
    <w:tmpl w:val="2FBA78B0"/>
    <w:lvl w:ilvl="0" w:tplc="8158970E">
      <w:start w:val="1"/>
      <w:numFmt w:val="decimal"/>
      <w:lvlText w:val="%1."/>
      <w:lvlJc w:val="left"/>
      <w:pPr>
        <w:ind w:left="360" w:hanging="360"/>
      </w:pPr>
      <w:rPr>
        <w:rFonts w:asciiTheme="minorHAnsi" w:eastAsiaTheme="minorHAnsi" w:hAnsiTheme="minorHAnsi" w:cstheme="minorHAnsi"/>
        <w:b w:val="0"/>
        <w:i w:val="0"/>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DE407B"/>
    <w:multiLevelType w:val="hybridMultilevel"/>
    <w:tmpl w:val="F53A7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3962E8"/>
    <w:multiLevelType w:val="hybridMultilevel"/>
    <w:tmpl w:val="5FBC0F82"/>
    <w:lvl w:ilvl="0" w:tplc="46349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E0"/>
    <w:rsid w:val="0001426C"/>
    <w:rsid w:val="00245E18"/>
    <w:rsid w:val="0042063E"/>
    <w:rsid w:val="00526350"/>
    <w:rsid w:val="00554A3C"/>
    <w:rsid w:val="005A2CC6"/>
    <w:rsid w:val="008471C7"/>
    <w:rsid w:val="008D2204"/>
    <w:rsid w:val="00AA3229"/>
    <w:rsid w:val="00B22536"/>
    <w:rsid w:val="00B426E0"/>
    <w:rsid w:val="00CC0CAC"/>
    <w:rsid w:val="00D12C69"/>
    <w:rsid w:val="00E17FC4"/>
    <w:rsid w:val="00E27B03"/>
    <w:rsid w:val="00E55709"/>
    <w:rsid w:val="00ED66D4"/>
    <w:rsid w:val="00EF0ECE"/>
    <w:rsid w:val="00F4444A"/>
    <w:rsid w:val="00F9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5755"/>
  <w15:chartTrackingRefBased/>
  <w15:docId w15:val="{1D255CDF-63EF-5E42-8B76-A2497E3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E0"/>
    <w:pPr>
      <w:ind w:left="720"/>
      <w:contextualSpacing/>
    </w:pPr>
  </w:style>
  <w:style w:type="character" w:customStyle="1" w:styleId="apple-converted-space">
    <w:name w:val="apple-converted-space"/>
    <w:basedOn w:val="DefaultParagraphFont"/>
    <w:rsid w:val="00B22536"/>
  </w:style>
  <w:style w:type="paragraph" w:customStyle="1" w:styleId="xmsonormal">
    <w:name w:val="x_msonormal"/>
    <w:basedOn w:val="Normal"/>
    <w:rsid w:val="005263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6350"/>
    <w:rPr>
      <w:color w:val="0563C1" w:themeColor="hyperlink"/>
      <w:u w:val="single"/>
    </w:rPr>
  </w:style>
  <w:style w:type="table" w:styleId="TableGrid">
    <w:name w:val="Table Grid"/>
    <w:basedOn w:val="TableNormal"/>
    <w:uiPriority w:val="39"/>
    <w:rsid w:val="00F9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449919">
      <w:bodyDiv w:val="1"/>
      <w:marLeft w:val="0"/>
      <w:marRight w:val="0"/>
      <w:marTop w:val="0"/>
      <w:marBottom w:val="0"/>
      <w:divBdr>
        <w:top w:val="none" w:sz="0" w:space="0" w:color="auto"/>
        <w:left w:val="none" w:sz="0" w:space="0" w:color="auto"/>
        <w:bottom w:val="none" w:sz="0" w:space="0" w:color="auto"/>
        <w:right w:val="none" w:sz="0" w:space="0" w:color="auto"/>
      </w:divBdr>
    </w:div>
    <w:div w:id="13460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odle.com/poll/vprgct83p6k57d8k?utm_source=poll&amp;utm_medium=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B5A8-1586-420F-8348-8A517287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Moody,Mary E</cp:lastModifiedBy>
  <cp:revision>2</cp:revision>
  <dcterms:created xsi:type="dcterms:W3CDTF">2020-12-16T19:33:00Z</dcterms:created>
  <dcterms:modified xsi:type="dcterms:W3CDTF">2020-12-16T19:33:00Z</dcterms:modified>
</cp:coreProperties>
</file>