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0AAC" w14:textId="77777777" w:rsidR="008B7F24" w:rsidRDefault="00FE4453" w:rsidP="008A4352">
      <w:pPr>
        <w:spacing w:after="0"/>
        <w:jc w:val="center"/>
        <w:rPr>
          <w:rFonts w:ascii="Times New Roman" w:hAnsi="Times New Roman" w:cs="Times New Roman"/>
          <w:b/>
          <w:sz w:val="28"/>
          <w:szCs w:val="28"/>
        </w:rPr>
      </w:pPr>
      <w:r>
        <w:rPr>
          <w:rFonts w:ascii="Times New Roman" w:hAnsi="Times New Roman" w:cs="Times New Roman"/>
          <w:b/>
          <w:sz w:val="28"/>
          <w:szCs w:val="28"/>
        </w:rPr>
        <w:t>College of Education FPC</w:t>
      </w:r>
      <w:r w:rsidR="008B7F24">
        <w:rPr>
          <w:rFonts w:ascii="Times New Roman" w:hAnsi="Times New Roman" w:cs="Times New Roman"/>
          <w:b/>
          <w:sz w:val="28"/>
          <w:szCs w:val="28"/>
        </w:rPr>
        <w:t xml:space="preserve">: </w:t>
      </w:r>
      <w:r w:rsidR="005F015E">
        <w:rPr>
          <w:rFonts w:ascii="Times New Roman" w:hAnsi="Times New Roman" w:cs="Times New Roman"/>
          <w:b/>
          <w:sz w:val="28"/>
          <w:szCs w:val="28"/>
        </w:rPr>
        <w:t>202</w:t>
      </w:r>
      <w:r w:rsidR="00D074D4">
        <w:rPr>
          <w:rFonts w:ascii="Times New Roman" w:hAnsi="Times New Roman" w:cs="Times New Roman"/>
          <w:b/>
          <w:sz w:val="28"/>
          <w:szCs w:val="28"/>
        </w:rPr>
        <w:t>1</w:t>
      </w:r>
      <w:r w:rsidR="005F015E">
        <w:rPr>
          <w:rFonts w:ascii="Times New Roman" w:hAnsi="Times New Roman" w:cs="Times New Roman"/>
          <w:b/>
          <w:sz w:val="28"/>
          <w:szCs w:val="28"/>
        </w:rPr>
        <w:t>-202</w:t>
      </w:r>
      <w:r w:rsidR="00D074D4">
        <w:rPr>
          <w:rFonts w:ascii="Times New Roman" w:hAnsi="Times New Roman" w:cs="Times New Roman"/>
          <w:b/>
          <w:sz w:val="28"/>
          <w:szCs w:val="28"/>
        </w:rPr>
        <w:t>2</w:t>
      </w:r>
      <w:r w:rsidR="005F015E">
        <w:rPr>
          <w:rFonts w:ascii="Times New Roman" w:hAnsi="Times New Roman" w:cs="Times New Roman"/>
          <w:b/>
          <w:sz w:val="28"/>
          <w:szCs w:val="28"/>
        </w:rPr>
        <w:t xml:space="preserve"> </w:t>
      </w:r>
      <w:r w:rsidR="008B7F24">
        <w:rPr>
          <w:rFonts w:ascii="Times New Roman" w:hAnsi="Times New Roman" w:cs="Times New Roman"/>
          <w:b/>
          <w:sz w:val="28"/>
          <w:szCs w:val="28"/>
        </w:rPr>
        <w:t>FPC Committees’ Initiatives</w:t>
      </w:r>
    </w:p>
    <w:p w14:paraId="21714E64" w14:textId="77777777" w:rsidR="008B7F24" w:rsidRPr="008B7F24" w:rsidRDefault="00D074D4" w:rsidP="008B7F24">
      <w:pPr>
        <w:jc w:val="center"/>
        <w:rPr>
          <w:rFonts w:ascii="Times New Roman" w:hAnsi="Times New Roman" w:cs="Times New Roman"/>
          <w:sz w:val="24"/>
          <w:szCs w:val="24"/>
        </w:rPr>
      </w:pPr>
      <w:r>
        <w:rPr>
          <w:rFonts w:ascii="Times New Roman" w:hAnsi="Times New Roman" w:cs="Times New Roman"/>
          <w:sz w:val="24"/>
          <w:szCs w:val="24"/>
        </w:rPr>
        <w:t xml:space="preserve">FPC Chair Angela </w:t>
      </w:r>
      <w:proofErr w:type="spellStart"/>
      <w:r>
        <w:rPr>
          <w:rFonts w:ascii="Times New Roman" w:hAnsi="Times New Roman" w:cs="Times New Roman"/>
          <w:sz w:val="24"/>
          <w:szCs w:val="24"/>
        </w:rPr>
        <w:t>Kohnen</w:t>
      </w:r>
      <w:proofErr w:type="spellEnd"/>
    </w:p>
    <w:tbl>
      <w:tblPr>
        <w:tblStyle w:val="TableGrid"/>
        <w:tblW w:w="17185" w:type="dxa"/>
        <w:tblLayout w:type="fixed"/>
        <w:tblLook w:val="04A0" w:firstRow="1" w:lastRow="0" w:firstColumn="1" w:lastColumn="0" w:noHBand="0" w:noVBand="1"/>
      </w:tblPr>
      <w:tblGrid>
        <w:gridCol w:w="1435"/>
        <w:gridCol w:w="1710"/>
        <w:gridCol w:w="1530"/>
        <w:gridCol w:w="5310"/>
        <w:gridCol w:w="3240"/>
        <w:gridCol w:w="2340"/>
        <w:gridCol w:w="1620"/>
      </w:tblGrid>
      <w:tr w:rsidR="0089328C" w:rsidRPr="00F457E7" w14:paraId="61DC779D" w14:textId="77777777" w:rsidTr="004416D9">
        <w:tc>
          <w:tcPr>
            <w:tcW w:w="1435" w:type="dxa"/>
            <w:shd w:val="clear" w:color="auto" w:fill="D9D9D9" w:themeFill="background1" w:themeFillShade="D9"/>
          </w:tcPr>
          <w:p w14:paraId="12D90701"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FPC Committee</w:t>
            </w:r>
            <w:r w:rsidR="008A4352">
              <w:rPr>
                <w:rFonts w:ascii="Times New Roman" w:hAnsi="Times New Roman" w:cs="Times New Roman"/>
                <w:sz w:val="20"/>
                <w:szCs w:val="20"/>
              </w:rPr>
              <w:t xml:space="preserve"> Rep &amp; Committee Chair</w:t>
            </w:r>
          </w:p>
        </w:tc>
        <w:tc>
          <w:tcPr>
            <w:tcW w:w="1710" w:type="dxa"/>
            <w:shd w:val="clear" w:color="auto" w:fill="D9D9D9" w:themeFill="background1" w:themeFillShade="D9"/>
          </w:tcPr>
          <w:p w14:paraId="2AEE7F71"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President Fuchs, The Decade Ahead</w:t>
            </w:r>
          </w:p>
          <w:p w14:paraId="1A9BCFDF" w14:textId="77777777" w:rsidR="0089328C" w:rsidRPr="00334B1F"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June 18, 2020 Notice</w:t>
            </w:r>
            <w:r w:rsidRPr="00F457E7">
              <w:rPr>
                <w:rFonts w:ascii="Times New Roman" w:hAnsi="Times New Roman" w:cs="Times New Roman"/>
                <w:sz w:val="20"/>
                <w:szCs w:val="20"/>
                <w:vertAlign w:val="superscript"/>
              </w:rPr>
              <w:t>1</w:t>
            </w:r>
            <w:r w:rsidR="00334B1F">
              <w:rPr>
                <w:rFonts w:ascii="Times New Roman" w:hAnsi="Times New Roman" w:cs="Times New Roman"/>
                <w:sz w:val="20"/>
                <w:szCs w:val="20"/>
                <w:vertAlign w:val="superscript"/>
              </w:rPr>
              <w:t xml:space="preserve">  </w:t>
            </w:r>
          </w:p>
        </w:tc>
        <w:tc>
          <w:tcPr>
            <w:tcW w:w="1530" w:type="dxa"/>
            <w:shd w:val="clear" w:color="auto" w:fill="D9D9D9" w:themeFill="background1" w:themeFillShade="D9"/>
          </w:tcPr>
          <w:p w14:paraId="66824BDE" w14:textId="77777777" w:rsidR="0089328C" w:rsidRPr="00F457E7" w:rsidRDefault="0089328C" w:rsidP="001742E3">
            <w:pPr>
              <w:rPr>
                <w:rFonts w:ascii="Times New Roman" w:hAnsi="Times New Roman" w:cs="Times New Roman"/>
                <w:sz w:val="20"/>
                <w:szCs w:val="20"/>
                <w:vertAlign w:val="superscript"/>
              </w:rPr>
            </w:pPr>
            <w:r w:rsidRPr="00F457E7">
              <w:rPr>
                <w:rFonts w:ascii="Times New Roman" w:hAnsi="Times New Roman" w:cs="Times New Roman"/>
                <w:sz w:val="20"/>
                <w:szCs w:val="20"/>
              </w:rPr>
              <w:t>FPC Discussions on COE Diversity Policies 4-18-20</w:t>
            </w:r>
            <w:r w:rsidRPr="00F457E7">
              <w:rPr>
                <w:rFonts w:ascii="Times New Roman" w:hAnsi="Times New Roman" w:cs="Times New Roman"/>
                <w:sz w:val="20"/>
                <w:szCs w:val="20"/>
                <w:vertAlign w:val="superscript"/>
              </w:rPr>
              <w:t>2</w:t>
            </w:r>
          </w:p>
        </w:tc>
        <w:tc>
          <w:tcPr>
            <w:tcW w:w="5310" w:type="dxa"/>
            <w:shd w:val="clear" w:color="auto" w:fill="D9D9D9" w:themeFill="background1" w:themeFillShade="D9"/>
          </w:tcPr>
          <w:p w14:paraId="2FA563C8" w14:textId="77777777" w:rsidR="0089328C" w:rsidRPr="00F457E7" w:rsidRDefault="00595A52" w:rsidP="00595A52">
            <w:pPr>
              <w:rPr>
                <w:rFonts w:ascii="Times New Roman" w:hAnsi="Times New Roman" w:cs="Times New Roman"/>
                <w:sz w:val="20"/>
                <w:szCs w:val="20"/>
              </w:rPr>
            </w:pPr>
            <w:r>
              <w:rPr>
                <w:rFonts w:ascii="Times New Roman" w:hAnsi="Times New Roman" w:cs="Times New Roman"/>
                <w:sz w:val="20"/>
                <w:szCs w:val="20"/>
              </w:rPr>
              <w:t xml:space="preserve">Designated Charge </w:t>
            </w:r>
            <w:r w:rsidRPr="00595A52">
              <w:rPr>
                <w:rFonts w:ascii="Times New Roman" w:hAnsi="Times New Roman" w:cs="Times New Roman"/>
                <w:sz w:val="20"/>
                <w:szCs w:val="20"/>
                <w:u w:val="single"/>
              </w:rPr>
              <w:t xml:space="preserve">and </w:t>
            </w:r>
            <w:r w:rsidR="0089328C" w:rsidRPr="00F457E7">
              <w:rPr>
                <w:rFonts w:ascii="Times New Roman" w:hAnsi="Times New Roman" w:cs="Times New Roman"/>
                <w:sz w:val="20"/>
                <w:szCs w:val="20"/>
              </w:rPr>
              <w:t>Other Faculty Requests for FPC Committee</w:t>
            </w:r>
            <w:r>
              <w:rPr>
                <w:rFonts w:ascii="Times New Roman" w:hAnsi="Times New Roman" w:cs="Times New Roman"/>
                <w:sz w:val="20"/>
                <w:szCs w:val="20"/>
              </w:rPr>
              <w:t xml:space="preserve"> Consideration</w:t>
            </w:r>
          </w:p>
        </w:tc>
        <w:tc>
          <w:tcPr>
            <w:tcW w:w="3240" w:type="dxa"/>
            <w:shd w:val="clear" w:color="auto" w:fill="D9D9D9" w:themeFill="background1" w:themeFillShade="D9"/>
          </w:tcPr>
          <w:p w14:paraId="76F1CB37" w14:textId="77777777" w:rsidR="0089328C" w:rsidRPr="00F457E7" w:rsidRDefault="00D074D4" w:rsidP="00D074D4">
            <w:pPr>
              <w:rPr>
                <w:rFonts w:ascii="Times New Roman" w:hAnsi="Times New Roman" w:cs="Times New Roman"/>
                <w:sz w:val="20"/>
                <w:szCs w:val="20"/>
              </w:rPr>
            </w:pPr>
            <w:r>
              <w:rPr>
                <w:rFonts w:ascii="Times New Roman" w:hAnsi="Times New Roman" w:cs="Times New Roman"/>
                <w:sz w:val="20"/>
                <w:szCs w:val="20"/>
              </w:rPr>
              <w:t>Adopted Goals by Committee,</w:t>
            </w:r>
          </w:p>
        </w:tc>
        <w:tc>
          <w:tcPr>
            <w:tcW w:w="2340" w:type="dxa"/>
            <w:shd w:val="clear" w:color="auto" w:fill="D9D9D9" w:themeFill="background1" w:themeFillShade="D9"/>
          </w:tcPr>
          <w:p w14:paraId="350DFBD6"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Outcomes</w:t>
            </w:r>
          </w:p>
        </w:tc>
        <w:tc>
          <w:tcPr>
            <w:tcW w:w="1620" w:type="dxa"/>
            <w:shd w:val="clear" w:color="auto" w:fill="D9D9D9" w:themeFill="background1" w:themeFillShade="D9"/>
          </w:tcPr>
          <w:p w14:paraId="74830825" w14:textId="77777777" w:rsidR="0089328C" w:rsidRPr="00F457E7" w:rsidRDefault="00E82644" w:rsidP="008350DB">
            <w:pPr>
              <w:rPr>
                <w:rFonts w:ascii="Times New Roman" w:hAnsi="Times New Roman" w:cs="Times New Roman"/>
                <w:sz w:val="20"/>
                <w:szCs w:val="20"/>
              </w:rPr>
            </w:pPr>
            <w:r>
              <w:rPr>
                <w:rFonts w:ascii="Times New Roman" w:hAnsi="Times New Roman" w:cs="Times New Roman"/>
                <w:sz w:val="20"/>
                <w:szCs w:val="20"/>
              </w:rPr>
              <w:t>Accomplished</w:t>
            </w:r>
            <w:r w:rsidR="00334B1F">
              <w:rPr>
                <w:rFonts w:ascii="Times New Roman" w:hAnsi="Times New Roman" w:cs="Times New Roman"/>
                <w:sz w:val="20"/>
                <w:szCs w:val="20"/>
              </w:rPr>
              <w:t xml:space="preserve"> by </w:t>
            </w:r>
          </w:p>
        </w:tc>
      </w:tr>
      <w:tr w:rsidR="000A5B70" w:rsidRPr="00F457E7" w14:paraId="178626F0" w14:textId="77777777" w:rsidTr="004416D9">
        <w:tc>
          <w:tcPr>
            <w:tcW w:w="1435" w:type="dxa"/>
          </w:tcPr>
          <w:p w14:paraId="4B0E0A65" w14:textId="643DE8F1" w:rsidR="000A5B70" w:rsidRDefault="000A5B70" w:rsidP="000A5B70">
            <w:pPr>
              <w:rPr>
                <w:rFonts w:ascii="Times New Roman" w:hAnsi="Times New Roman" w:cs="Times New Roman"/>
                <w:sz w:val="20"/>
                <w:szCs w:val="20"/>
              </w:rPr>
            </w:pPr>
            <w:r w:rsidRPr="00F457E7">
              <w:rPr>
                <w:rFonts w:ascii="Times New Roman" w:hAnsi="Times New Roman" w:cs="Times New Roman"/>
                <w:sz w:val="20"/>
                <w:szCs w:val="20"/>
              </w:rPr>
              <w:t xml:space="preserve">Faculty Affairs, </w:t>
            </w:r>
            <w:r>
              <w:rPr>
                <w:rFonts w:ascii="Times New Roman" w:hAnsi="Times New Roman" w:cs="Times New Roman"/>
                <w:sz w:val="20"/>
                <w:szCs w:val="20"/>
              </w:rPr>
              <w:t xml:space="preserve">FPC Rep: Tara </w:t>
            </w:r>
            <w:proofErr w:type="spellStart"/>
            <w:r>
              <w:rPr>
                <w:rFonts w:ascii="Times New Roman" w:hAnsi="Times New Roman" w:cs="Times New Roman"/>
                <w:sz w:val="20"/>
                <w:szCs w:val="20"/>
              </w:rPr>
              <w:t>Mathien</w:t>
            </w:r>
            <w:proofErr w:type="spellEnd"/>
          </w:p>
          <w:p w14:paraId="74B19948" w14:textId="77777777" w:rsidR="000A5B70" w:rsidRDefault="000A5B70" w:rsidP="000A5B70">
            <w:pPr>
              <w:rPr>
                <w:rFonts w:ascii="Times New Roman" w:hAnsi="Times New Roman" w:cs="Times New Roman"/>
                <w:sz w:val="20"/>
                <w:szCs w:val="20"/>
              </w:rPr>
            </w:pPr>
          </w:p>
          <w:p w14:paraId="5C526221" w14:textId="77777777" w:rsidR="000A5B70" w:rsidRDefault="000A5B70" w:rsidP="000A5B70">
            <w:pPr>
              <w:rPr>
                <w:rFonts w:ascii="Times New Roman" w:hAnsi="Times New Roman" w:cs="Times New Roman"/>
                <w:sz w:val="20"/>
                <w:szCs w:val="20"/>
              </w:rPr>
            </w:pPr>
            <w:r>
              <w:rPr>
                <w:rFonts w:ascii="Times New Roman" w:hAnsi="Times New Roman" w:cs="Times New Roman"/>
                <w:sz w:val="20"/>
                <w:szCs w:val="20"/>
              </w:rPr>
              <w:t xml:space="preserve">Chair </w:t>
            </w:r>
          </w:p>
          <w:p w14:paraId="5F8B794F" w14:textId="77777777" w:rsidR="000A5B70" w:rsidRDefault="000A5B70" w:rsidP="000A5B70">
            <w:pPr>
              <w:rPr>
                <w:rFonts w:ascii="Times New Roman" w:hAnsi="Times New Roman" w:cs="Times New Roman"/>
                <w:sz w:val="20"/>
                <w:szCs w:val="20"/>
              </w:rPr>
            </w:pPr>
          </w:p>
          <w:p w14:paraId="04B9A611" w14:textId="77777777" w:rsidR="000A5B70" w:rsidRDefault="000A5B70" w:rsidP="000A5B70">
            <w:pPr>
              <w:rPr>
                <w:rFonts w:ascii="Times New Roman" w:hAnsi="Times New Roman" w:cs="Times New Roman"/>
                <w:sz w:val="20"/>
                <w:szCs w:val="20"/>
              </w:rPr>
            </w:pPr>
          </w:p>
          <w:p w14:paraId="35DB4A7B" w14:textId="77777777" w:rsidR="000A5B70" w:rsidRPr="00F457E7" w:rsidRDefault="000A5B70" w:rsidP="000A5B70">
            <w:pPr>
              <w:jc w:val="center"/>
              <w:rPr>
                <w:rFonts w:ascii="Times New Roman" w:hAnsi="Times New Roman" w:cs="Times New Roman"/>
                <w:sz w:val="20"/>
                <w:szCs w:val="20"/>
              </w:rPr>
            </w:pPr>
          </w:p>
        </w:tc>
        <w:tc>
          <w:tcPr>
            <w:tcW w:w="1710" w:type="dxa"/>
            <w:shd w:val="clear" w:color="auto" w:fill="auto"/>
          </w:tcPr>
          <w:p w14:paraId="38C51971" w14:textId="61248FE6" w:rsidR="000A5B70" w:rsidRPr="00F457E7" w:rsidRDefault="000A5B70" w:rsidP="000A5B70">
            <w:pPr>
              <w:rPr>
                <w:rFonts w:ascii="Times New Roman" w:hAnsi="Times New Roman" w:cs="Times New Roman"/>
                <w:sz w:val="20"/>
                <w:szCs w:val="20"/>
              </w:rPr>
            </w:pPr>
            <w:r w:rsidRPr="00F457E7">
              <w:rPr>
                <w:rFonts w:ascii="Times New Roman" w:hAnsi="Times New Roman" w:cs="Times New Roman"/>
                <w:sz w:val="20"/>
                <w:szCs w:val="20"/>
              </w:rPr>
              <w:t>Intensify efforts in recruiting, supporting, retaining students, faculty &amp; employees of color, particularly Black students, faculty &amp; staff. To promote transparency &amp; accountability, we will publish by department &amp; college the race, ethnicity &amp; gender trends for faculty, staff &amp; students &amp; report to Board of Trustees</w:t>
            </w:r>
          </w:p>
        </w:tc>
        <w:tc>
          <w:tcPr>
            <w:tcW w:w="1530" w:type="dxa"/>
            <w:shd w:val="clear" w:color="auto" w:fill="auto"/>
          </w:tcPr>
          <w:p w14:paraId="7C6DC5D6" w14:textId="76F578B6" w:rsidR="000A5B70" w:rsidRPr="00F457E7" w:rsidRDefault="000A5B70" w:rsidP="000A5B70">
            <w:pPr>
              <w:rPr>
                <w:rFonts w:ascii="Times New Roman" w:hAnsi="Times New Roman" w:cs="Times New Roman"/>
                <w:sz w:val="20"/>
                <w:szCs w:val="20"/>
              </w:rPr>
            </w:pPr>
            <w:r w:rsidRPr="00F457E7">
              <w:rPr>
                <w:rFonts w:ascii="Times New Roman" w:hAnsi="Times New Roman" w:cs="Times New Roman"/>
                <w:sz w:val="20"/>
                <w:szCs w:val="20"/>
              </w:rPr>
              <w:t>Policy goals mentoring &amp; retention new hires; Policy goals T&amp;P</w:t>
            </w:r>
          </w:p>
        </w:tc>
        <w:tc>
          <w:tcPr>
            <w:tcW w:w="5310" w:type="dxa"/>
            <w:shd w:val="clear" w:color="auto" w:fill="auto"/>
          </w:tcPr>
          <w:p w14:paraId="4224DDF2" w14:textId="77777777" w:rsidR="000A5B70" w:rsidRPr="00E020A1" w:rsidRDefault="000A5B70" w:rsidP="000A5B70">
            <w:pPr>
              <w:spacing w:after="267" w:line="248" w:lineRule="auto"/>
              <w:ind w:right="39"/>
              <w:rPr>
                <w:rFonts w:ascii="Times New Roman" w:hAnsi="Times New Roman" w:cs="Times New Roman"/>
                <w:sz w:val="20"/>
                <w:szCs w:val="20"/>
              </w:rPr>
            </w:pPr>
            <w:r w:rsidRPr="00E020A1">
              <w:rPr>
                <w:rFonts w:ascii="Times New Roman" w:hAnsi="Times New Roman" w:cs="Times New Roman"/>
                <w:b/>
                <w:sz w:val="20"/>
                <w:szCs w:val="20"/>
              </w:rPr>
              <w:t>Standing Charge:</w:t>
            </w:r>
            <w:r w:rsidRPr="00E020A1">
              <w:rPr>
                <w:rFonts w:ascii="Times New Roman" w:hAnsi="Times New Roman" w:cs="Times New Roman"/>
                <w:sz w:val="20"/>
                <w:szCs w:val="20"/>
              </w:rPr>
              <w:t xml:space="preserve"> </w:t>
            </w:r>
            <w:r w:rsidRPr="00E020A1">
              <w:rPr>
                <w:rFonts w:ascii="Times New Roman" w:eastAsia="Times New Roman" w:hAnsi="Times New Roman" w:cs="Times New Roman"/>
                <w:sz w:val="20"/>
                <w:szCs w:val="20"/>
              </w:rPr>
              <w:t>concerned with policies related to promotion, tenure, search and screen, load, in-service development, sabbatical leaves, etc.</w:t>
            </w:r>
          </w:p>
          <w:p w14:paraId="1B636243" w14:textId="77777777" w:rsidR="000A5B70" w:rsidRPr="00334B1F" w:rsidRDefault="000A5B70" w:rsidP="000A5B70">
            <w:pPr>
              <w:spacing w:line="256" w:lineRule="auto"/>
              <w:rPr>
                <w:rFonts w:ascii="Times New Roman" w:hAnsi="Times New Roman" w:cs="Times New Roman"/>
                <w:b/>
                <w:bCs/>
                <w:sz w:val="20"/>
                <w:szCs w:val="20"/>
              </w:rPr>
            </w:pPr>
            <w:r>
              <w:rPr>
                <w:rFonts w:ascii="Times New Roman" w:hAnsi="Times New Roman" w:cs="Times New Roman"/>
                <w:b/>
                <w:bCs/>
                <w:sz w:val="20"/>
                <w:szCs w:val="20"/>
              </w:rPr>
              <w:t>2020-2021 F</w:t>
            </w:r>
            <w:r w:rsidRPr="00334B1F">
              <w:rPr>
                <w:rFonts w:ascii="Times New Roman" w:hAnsi="Times New Roman" w:cs="Times New Roman"/>
                <w:b/>
                <w:bCs/>
                <w:sz w:val="20"/>
                <w:szCs w:val="20"/>
              </w:rPr>
              <w:t xml:space="preserve">AC </w:t>
            </w:r>
            <w:r>
              <w:rPr>
                <w:rFonts w:ascii="Times New Roman" w:hAnsi="Times New Roman" w:cs="Times New Roman"/>
                <w:b/>
                <w:bCs/>
                <w:sz w:val="20"/>
                <w:szCs w:val="20"/>
              </w:rPr>
              <w:t xml:space="preserve">&amp; Other Faculty </w:t>
            </w:r>
            <w:r w:rsidRPr="00334B1F">
              <w:rPr>
                <w:rFonts w:ascii="Times New Roman" w:hAnsi="Times New Roman" w:cs="Times New Roman"/>
                <w:b/>
                <w:bCs/>
                <w:sz w:val="20"/>
                <w:szCs w:val="20"/>
              </w:rPr>
              <w:t xml:space="preserve">Carry Forward Recommendations: </w:t>
            </w:r>
          </w:p>
          <w:p w14:paraId="4EBD538B" w14:textId="77777777" w:rsidR="000A5B70" w:rsidRPr="00E020A1" w:rsidRDefault="000A5B70" w:rsidP="000A5B70">
            <w:pPr>
              <w:pStyle w:val="ListParagraph"/>
              <w:numPr>
                <w:ilvl w:val="0"/>
                <w:numId w:val="36"/>
              </w:numPr>
              <w:rPr>
                <w:rFonts w:ascii="Times New Roman" w:hAnsi="Times New Roman" w:cs="Times New Roman"/>
                <w:sz w:val="20"/>
                <w:szCs w:val="20"/>
              </w:rPr>
            </w:pPr>
            <w:r w:rsidRPr="00E020A1">
              <w:rPr>
                <w:rFonts w:ascii="Times New Roman" w:hAnsi="Times New Roman" w:cs="Times New Roman"/>
                <w:sz w:val="20"/>
                <w:szCs w:val="20"/>
              </w:rPr>
              <w:t xml:space="preserve">Review College of Education policies to ensure alignment with the new Collective Bargaining Agreement that </w:t>
            </w:r>
            <w:r>
              <w:rPr>
                <w:rFonts w:ascii="Times New Roman" w:hAnsi="Times New Roman" w:cs="Times New Roman"/>
                <w:sz w:val="20"/>
                <w:szCs w:val="20"/>
              </w:rPr>
              <w:t>was finalized in March 2021</w:t>
            </w:r>
          </w:p>
          <w:p w14:paraId="503AE5F8" w14:textId="77777777" w:rsidR="000A5B70" w:rsidRDefault="000A5B70" w:rsidP="000A5B70">
            <w:pPr>
              <w:pStyle w:val="ListParagraph"/>
              <w:numPr>
                <w:ilvl w:val="0"/>
                <w:numId w:val="36"/>
              </w:numPr>
              <w:rPr>
                <w:rFonts w:ascii="Times New Roman" w:hAnsi="Times New Roman" w:cs="Times New Roman"/>
                <w:sz w:val="20"/>
                <w:szCs w:val="20"/>
              </w:rPr>
            </w:pPr>
            <w:r w:rsidRPr="00E020A1">
              <w:rPr>
                <w:rFonts w:ascii="Times New Roman" w:hAnsi="Times New Roman" w:cs="Times New Roman"/>
                <w:sz w:val="20"/>
                <w:szCs w:val="20"/>
              </w:rPr>
              <w:t xml:space="preserve">Committee gathered information on how other R1 institutions account for labor of minoritized faculty in effort calculations. This work will continue into next year. </w:t>
            </w:r>
          </w:p>
          <w:p w14:paraId="7E953933" w14:textId="77777777" w:rsidR="000A5B70" w:rsidRPr="006B100D" w:rsidRDefault="000A5B70" w:rsidP="000A5B70">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Review constitution for some antiquated language (e.g., 5-year review p. 9; use of term “Secretary” for Chair-elect and some responsibilities such as keeping minutes which is now done be the appointed FPC Graduate Assistant.</w:t>
            </w:r>
          </w:p>
          <w:p w14:paraId="3DC05F20" w14:textId="77777777" w:rsidR="000A5B70" w:rsidRPr="004416D9" w:rsidRDefault="000A5B70" w:rsidP="000A5B70">
            <w:pPr>
              <w:pStyle w:val="ListParagraph"/>
              <w:numPr>
                <w:ilvl w:val="0"/>
                <w:numId w:val="36"/>
              </w:numPr>
              <w:rPr>
                <w:rFonts w:ascii="Times New Roman" w:hAnsi="Times New Roman" w:cs="Times New Roman"/>
                <w:color w:val="000000"/>
                <w:sz w:val="20"/>
                <w:szCs w:val="20"/>
              </w:rPr>
            </w:pPr>
            <w:r w:rsidRPr="00BE093E">
              <w:rPr>
                <w:rFonts w:ascii="Times New Roman" w:hAnsi="Times New Roman" w:cs="Times New Roman"/>
                <w:sz w:val="20"/>
                <w:szCs w:val="20"/>
              </w:rPr>
              <w:t xml:space="preserve">Review constitution for </w:t>
            </w:r>
            <w:r w:rsidRPr="00BE093E">
              <w:rPr>
                <w:rFonts w:ascii="Calibri" w:eastAsia="Times New Roman" w:hAnsi="Calibri" w:cs="Calibri"/>
                <w:color w:val="000000"/>
              </w:rPr>
              <w:t xml:space="preserve">the voting eligibility narrative in </w:t>
            </w:r>
            <w:r w:rsidRPr="004416D9">
              <w:rPr>
                <w:rFonts w:ascii="Times New Roman" w:eastAsia="Times New Roman" w:hAnsi="Times New Roman" w:cs="Times New Roman"/>
                <w:color w:val="000000"/>
                <w:sz w:val="20"/>
                <w:szCs w:val="20"/>
              </w:rPr>
              <w:t xml:space="preserve">the college's non-tenure track guidelines as it does not </w:t>
            </w:r>
            <w:proofErr w:type="gramStart"/>
            <w:r w:rsidRPr="004416D9">
              <w:rPr>
                <w:rFonts w:ascii="Times New Roman" w:eastAsia="Times New Roman" w:hAnsi="Times New Roman" w:cs="Times New Roman"/>
                <w:color w:val="000000"/>
                <w:sz w:val="20"/>
                <w:szCs w:val="20"/>
              </w:rPr>
              <w:t>aligned</w:t>
            </w:r>
            <w:proofErr w:type="gramEnd"/>
            <w:r w:rsidRPr="004416D9">
              <w:rPr>
                <w:rFonts w:ascii="Times New Roman" w:eastAsia="Times New Roman" w:hAnsi="Times New Roman" w:cs="Times New Roman"/>
                <w:color w:val="000000"/>
                <w:sz w:val="20"/>
                <w:szCs w:val="20"/>
              </w:rPr>
              <w:t xml:space="preserve"> with the university's guidelines on voting eligibility. In particular, see </w:t>
            </w:r>
            <w:r w:rsidRPr="004416D9">
              <w:rPr>
                <w:rFonts w:ascii="Times New Roman" w:hAnsi="Times New Roman" w:cs="Times New Roman"/>
                <w:color w:val="000000"/>
                <w:sz w:val="20"/>
                <w:szCs w:val="20"/>
              </w:rPr>
              <w:t>COE Non- Tenure Criteria, Page 4, Sec 8: Faculty voting on promotion of non-tenure track faculty:</w:t>
            </w:r>
          </w:p>
          <w:p w14:paraId="180E235F" w14:textId="77777777" w:rsidR="000A5B70" w:rsidRPr="004416D9" w:rsidRDefault="000A5B70" w:rsidP="000A5B70">
            <w:pPr>
              <w:pStyle w:val="xxxmsonormal"/>
              <w:ind w:left="840" w:right="221" w:hanging="360"/>
              <w:rPr>
                <w:color w:val="000000"/>
                <w:sz w:val="20"/>
                <w:szCs w:val="20"/>
              </w:rPr>
            </w:pPr>
            <w:r w:rsidRPr="004416D9">
              <w:rPr>
                <w:color w:val="000000"/>
                <w:spacing w:val="-3"/>
                <w:sz w:val="20"/>
                <w:szCs w:val="20"/>
              </w:rPr>
              <w:t>a.     </w:t>
            </w:r>
            <w:r w:rsidRPr="004416D9">
              <w:rPr>
                <w:color w:val="000000"/>
                <w:sz w:val="20"/>
                <w:szCs w:val="20"/>
              </w:rPr>
              <w:t>Faculty voting on promotion from the rank of Assistant to Associate will be by faculty of superior rank in the unit, i.e., Senior and Master</w:t>
            </w:r>
            <w:r w:rsidRPr="004416D9">
              <w:rPr>
                <w:color w:val="000000"/>
                <w:spacing w:val="-9"/>
                <w:sz w:val="20"/>
                <w:szCs w:val="20"/>
              </w:rPr>
              <w:t> </w:t>
            </w:r>
            <w:r w:rsidRPr="004416D9">
              <w:rPr>
                <w:color w:val="000000"/>
                <w:sz w:val="20"/>
                <w:szCs w:val="20"/>
              </w:rPr>
              <w:t>lecturers, Associate and Full Scholars, and Associate and Full</w:t>
            </w:r>
            <w:r w:rsidRPr="004416D9">
              <w:rPr>
                <w:color w:val="000000"/>
                <w:spacing w:val="-2"/>
                <w:sz w:val="20"/>
                <w:szCs w:val="20"/>
              </w:rPr>
              <w:t> </w:t>
            </w:r>
            <w:r w:rsidRPr="004416D9">
              <w:rPr>
                <w:color w:val="000000"/>
                <w:sz w:val="20"/>
                <w:szCs w:val="20"/>
              </w:rPr>
              <w:t>Professors.</w:t>
            </w:r>
          </w:p>
          <w:p w14:paraId="716FB7B2" w14:textId="77777777" w:rsidR="000A5B70" w:rsidRPr="004416D9" w:rsidRDefault="000A5B70" w:rsidP="000A5B70">
            <w:pPr>
              <w:pStyle w:val="xxxmsonormal"/>
              <w:ind w:left="840" w:right="190" w:hanging="360"/>
              <w:rPr>
                <w:color w:val="000000"/>
                <w:sz w:val="20"/>
                <w:szCs w:val="20"/>
              </w:rPr>
            </w:pPr>
            <w:r w:rsidRPr="004416D9">
              <w:rPr>
                <w:color w:val="000000"/>
                <w:spacing w:val="-3"/>
                <w:sz w:val="20"/>
                <w:szCs w:val="20"/>
              </w:rPr>
              <w:t>b.     </w:t>
            </w:r>
            <w:r w:rsidRPr="004416D9">
              <w:rPr>
                <w:color w:val="000000"/>
                <w:sz w:val="20"/>
                <w:szCs w:val="20"/>
              </w:rPr>
              <w:t>Faculty voting on promotion from the rank of Associate to Professor will be by faculty of superior rank in the unit, i.e., Master lecturers, Full Scholars, and Full Professors.</w:t>
            </w:r>
          </w:p>
          <w:p w14:paraId="65E70CBE" w14:textId="77777777" w:rsidR="000A5B70" w:rsidRPr="004416D9" w:rsidRDefault="000A5B70" w:rsidP="000A5B70">
            <w:pPr>
              <w:pStyle w:val="xxxmsonormal"/>
              <w:ind w:left="840" w:hanging="360"/>
              <w:rPr>
                <w:color w:val="000000"/>
                <w:sz w:val="20"/>
                <w:szCs w:val="20"/>
              </w:rPr>
            </w:pPr>
            <w:r w:rsidRPr="004416D9">
              <w:rPr>
                <w:color w:val="000000"/>
                <w:spacing w:val="-3"/>
                <w:sz w:val="20"/>
                <w:szCs w:val="20"/>
              </w:rPr>
              <w:lastRenderedPageBreak/>
              <w:t>c.       </w:t>
            </w:r>
            <w:r w:rsidRPr="004416D9">
              <w:rPr>
                <w:color w:val="000000"/>
                <w:sz w:val="20"/>
                <w:szCs w:val="20"/>
              </w:rPr>
              <w:t>Senior faculty members are defined as any faculty of a higher rank than the</w:t>
            </w:r>
            <w:r w:rsidRPr="004416D9">
              <w:rPr>
                <w:color w:val="000000"/>
                <w:spacing w:val="-16"/>
                <w:sz w:val="20"/>
                <w:szCs w:val="20"/>
              </w:rPr>
              <w:t> </w:t>
            </w:r>
            <w:r w:rsidRPr="004416D9">
              <w:rPr>
                <w:color w:val="000000"/>
                <w:sz w:val="20"/>
                <w:szCs w:val="20"/>
              </w:rPr>
              <w:t>candidate.</w:t>
            </w:r>
          </w:p>
          <w:p w14:paraId="6BE0B035" w14:textId="77777777" w:rsidR="000A5B70" w:rsidRPr="004416D9" w:rsidRDefault="000A5B70" w:rsidP="000A5B70">
            <w:pPr>
              <w:rPr>
                <w:rFonts w:ascii="Times New Roman" w:eastAsia="Times New Roman" w:hAnsi="Times New Roman" w:cs="Times New Roman"/>
                <w:color w:val="000000"/>
                <w:sz w:val="20"/>
                <w:szCs w:val="20"/>
              </w:rPr>
            </w:pPr>
          </w:p>
          <w:p w14:paraId="25D4E3A2" w14:textId="77777777" w:rsidR="000A5B70" w:rsidRDefault="000A5B70" w:rsidP="000A5B70">
            <w:pPr>
              <w:rPr>
                <w:rFonts w:ascii="Times New Roman" w:eastAsia="Times New Roman" w:hAnsi="Times New Roman" w:cs="Times New Roman"/>
                <w:color w:val="000000"/>
                <w:sz w:val="20"/>
                <w:szCs w:val="20"/>
              </w:rPr>
            </w:pPr>
            <w:r w:rsidRPr="004416D9">
              <w:rPr>
                <w:rFonts w:ascii="Times New Roman" w:eastAsia="Times New Roman" w:hAnsi="Times New Roman" w:cs="Times New Roman"/>
                <w:color w:val="000000"/>
                <w:sz w:val="20"/>
                <w:szCs w:val="20"/>
              </w:rPr>
              <w:t xml:space="preserve">For example, this narrative leads the reader to believe that one with the rank of Full Scholar can vote on someone pursuing the rank of Full Clinical Professor. However, according to the university guidelines, this is not the case. There are other misunderstandings built into the college's narrative as well. Here's what I suggest: To avoid misunderstanding, replace the eligibility voting narrative in the college document with a statement like: "See the university's tenure and promotion guidelines for voting eligibility". This way also if the university makes any changes in the voting eligibility, the COE document is always </w:t>
            </w:r>
            <w:proofErr w:type="gramStart"/>
            <w:r w:rsidRPr="004416D9">
              <w:rPr>
                <w:rFonts w:ascii="Times New Roman" w:eastAsia="Times New Roman" w:hAnsi="Times New Roman" w:cs="Times New Roman"/>
                <w:color w:val="000000"/>
                <w:sz w:val="20"/>
                <w:szCs w:val="20"/>
              </w:rPr>
              <w:t>up-to-date</w:t>
            </w:r>
            <w:proofErr w:type="gramEnd"/>
            <w:r w:rsidRPr="004416D9">
              <w:rPr>
                <w:rFonts w:ascii="Times New Roman" w:eastAsia="Times New Roman" w:hAnsi="Times New Roman" w:cs="Times New Roman"/>
                <w:color w:val="000000"/>
                <w:sz w:val="20"/>
                <w:szCs w:val="20"/>
              </w:rPr>
              <w:t>.</w:t>
            </w:r>
          </w:p>
          <w:p w14:paraId="732D736C" w14:textId="77777777" w:rsidR="000A5B70" w:rsidRPr="00C4468E" w:rsidRDefault="000A5B70" w:rsidP="000A5B70">
            <w:pPr>
              <w:pStyle w:val="ListParagraph"/>
              <w:numPr>
                <w:ilvl w:val="0"/>
                <w:numId w:val="36"/>
              </w:numPr>
              <w:rPr>
                <w:rFonts w:ascii="Times New Roman" w:hAnsi="Times New Roman" w:cs="Times New Roman"/>
                <w:sz w:val="20"/>
                <w:szCs w:val="20"/>
              </w:rPr>
            </w:pPr>
            <w:r>
              <w:rPr>
                <w:rFonts w:ascii="Times New Roman" w:eastAsia="Times New Roman" w:hAnsi="Times New Roman" w:cs="Times New Roman"/>
                <w:color w:val="000000"/>
                <w:sz w:val="20"/>
                <w:szCs w:val="20"/>
              </w:rPr>
              <w:t>Faculty have evaluation input on School Director performance via an evaluation administered through the Dean’s office. Since the implementation of Associate Director positions, this same opportunity to provide feedback on performance has not been available although Associate Directors have considerable influence over vital school operations and sometimes faculty roles, performance, evaluations and load. Consider a faculty feedback mechanism for Associate Directors</w:t>
            </w:r>
          </w:p>
          <w:p w14:paraId="31B1F191" w14:textId="517C40C9" w:rsidR="000A5B70" w:rsidRPr="002A07F4" w:rsidRDefault="000A5B70" w:rsidP="000A5B70">
            <w:pPr>
              <w:pStyle w:val="ListParagraph"/>
              <w:numPr>
                <w:ilvl w:val="0"/>
                <w:numId w:val="36"/>
              </w:numP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Six versus </w:t>
            </w:r>
            <w:proofErr w:type="gramStart"/>
            <w:r>
              <w:rPr>
                <w:rFonts w:ascii="Times New Roman" w:eastAsia="Times New Roman" w:hAnsi="Times New Roman" w:cs="Times New Roman"/>
                <w:color w:val="000000"/>
                <w:sz w:val="20"/>
                <w:szCs w:val="20"/>
              </w:rPr>
              <w:t>seven year</w:t>
            </w:r>
            <w:proofErr w:type="gramEnd"/>
            <w:r>
              <w:rPr>
                <w:rFonts w:ascii="Times New Roman" w:eastAsia="Times New Roman" w:hAnsi="Times New Roman" w:cs="Times New Roman"/>
                <w:color w:val="000000"/>
                <w:sz w:val="20"/>
                <w:szCs w:val="20"/>
              </w:rPr>
              <w:t xml:space="preserve"> probationary period for tenure</w:t>
            </w:r>
          </w:p>
          <w:p w14:paraId="162B2BB4" w14:textId="128D20EB" w:rsidR="000A5B70" w:rsidRPr="002A07F4" w:rsidRDefault="000A5B70" w:rsidP="000A5B70">
            <w:pPr>
              <w:pStyle w:val="ListParagraph"/>
              <w:numPr>
                <w:ilvl w:val="0"/>
                <w:numId w:val="36"/>
              </w:numPr>
              <w:rPr>
                <w:rFonts w:ascii="Times New Roman" w:hAnsi="Times New Roman" w:cs="Times New Roman"/>
                <w:sz w:val="20"/>
                <w:szCs w:val="20"/>
              </w:rPr>
            </w:pPr>
            <w:r w:rsidRPr="002A07F4">
              <w:rPr>
                <w:rFonts w:ascii="Times New Roman" w:hAnsi="Times New Roman" w:cs="Times New Roman"/>
                <w:sz w:val="20"/>
                <w:szCs w:val="20"/>
              </w:rPr>
              <w:t>Peer evaluations—this is being explored at Senate, may need action on our college level</w:t>
            </w:r>
          </w:p>
        </w:tc>
        <w:tc>
          <w:tcPr>
            <w:tcW w:w="3240" w:type="dxa"/>
          </w:tcPr>
          <w:p w14:paraId="70EA198A" w14:textId="22959F72" w:rsidR="000A5B70" w:rsidRDefault="002A07F4" w:rsidP="002A07F4">
            <w:pPr>
              <w:rPr>
                <w:rFonts w:ascii="Times New Roman" w:hAnsi="Times New Roman" w:cs="Times New Roman"/>
                <w:sz w:val="20"/>
                <w:szCs w:val="20"/>
              </w:rPr>
            </w:pPr>
            <w:r>
              <w:rPr>
                <w:rFonts w:ascii="Times New Roman" w:hAnsi="Times New Roman" w:cs="Times New Roman"/>
                <w:sz w:val="20"/>
                <w:szCs w:val="20"/>
              </w:rPr>
              <w:lastRenderedPageBreak/>
              <w:t xml:space="preserve">2. upcoming agenda will continue work from last year that states work being done and how it will be disseminated this year </w:t>
            </w:r>
          </w:p>
          <w:p w14:paraId="26220AF5" w14:textId="6FF51189" w:rsidR="002A07F4" w:rsidRDefault="002A07F4" w:rsidP="002A07F4">
            <w:pPr>
              <w:rPr>
                <w:rFonts w:ascii="Times New Roman" w:hAnsi="Times New Roman" w:cs="Times New Roman"/>
                <w:sz w:val="20"/>
                <w:szCs w:val="20"/>
              </w:rPr>
            </w:pPr>
            <w:r>
              <w:rPr>
                <w:rFonts w:ascii="Times New Roman" w:hAnsi="Times New Roman" w:cs="Times New Roman"/>
                <w:sz w:val="20"/>
                <w:szCs w:val="20"/>
              </w:rPr>
              <w:t xml:space="preserve">3. review and update constitution language </w:t>
            </w:r>
          </w:p>
          <w:p w14:paraId="11384BDF" w14:textId="56CEAAD3" w:rsidR="002A07F4" w:rsidRPr="002A07F4" w:rsidRDefault="002A07F4" w:rsidP="002A07F4">
            <w:pPr>
              <w:rPr>
                <w:rFonts w:ascii="Times New Roman" w:hAnsi="Times New Roman" w:cs="Times New Roman"/>
                <w:sz w:val="20"/>
                <w:szCs w:val="20"/>
              </w:rPr>
            </w:pPr>
            <w:r>
              <w:rPr>
                <w:rFonts w:ascii="Times New Roman" w:hAnsi="Times New Roman" w:cs="Times New Roman"/>
                <w:sz w:val="20"/>
                <w:szCs w:val="20"/>
              </w:rPr>
              <w:t xml:space="preserve">4. need to update to voting eligibility by referring to </w:t>
            </w:r>
            <w:hyperlink r:id="rId5" w:history="1">
              <w:r w:rsidRPr="009E1049">
                <w:rPr>
                  <w:rStyle w:val="Hyperlink"/>
                  <w:rFonts w:ascii="Times New Roman" w:hAnsi="Times New Roman" w:cs="Times New Roman"/>
                  <w:sz w:val="20"/>
                  <w:szCs w:val="20"/>
                </w:rPr>
                <w:t>http://aa.ufl.edu/media/aaufledu/tenure-and-promotion/TP-Guidelines-2021-2_final.pdf</w:t>
              </w:r>
            </w:hyperlink>
            <w:r>
              <w:rPr>
                <w:rFonts w:ascii="Times New Roman" w:hAnsi="Times New Roman" w:cs="Times New Roman"/>
                <w:sz w:val="20"/>
                <w:szCs w:val="20"/>
              </w:rPr>
              <w:t xml:space="preserve"> for all schools and bylaws (6-8) bylaws will be reviewed – merit raises, tenure and promotion (to serve as resource only)and policies – review at an upcoming meeting which ones to engage in?  </w:t>
            </w:r>
          </w:p>
        </w:tc>
        <w:tc>
          <w:tcPr>
            <w:tcW w:w="2340" w:type="dxa"/>
          </w:tcPr>
          <w:p w14:paraId="37C35552" w14:textId="77777777" w:rsidR="000A5B70" w:rsidRPr="00576BCF" w:rsidRDefault="000A5B70" w:rsidP="000A5B70">
            <w:pPr>
              <w:pStyle w:val="ListParagraph"/>
              <w:numPr>
                <w:ilvl w:val="0"/>
                <w:numId w:val="31"/>
              </w:numPr>
              <w:rPr>
                <w:rFonts w:ascii="Times New Roman" w:hAnsi="Times New Roman" w:cs="Times New Roman"/>
                <w:sz w:val="24"/>
                <w:szCs w:val="24"/>
              </w:rPr>
            </w:pPr>
          </w:p>
        </w:tc>
        <w:tc>
          <w:tcPr>
            <w:tcW w:w="1620" w:type="dxa"/>
          </w:tcPr>
          <w:p w14:paraId="5BAD042D" w14:textId="77777777" w:rsidR="000A5B70" w:rsidRPr="0089328C" w:rsidRDefault="000A5B70" w:rsidP="000A5B70">
            <w:pPr>
              <w:ind w:left="72"/>
              <w:rPr>
                <w:rFonts w:ascii="Times New Roman" w:hAnsi="Times New Roman" w:cs="Times New Roman"/>
                <w:sz w:val="20"/>
                <w:szCs w:val="20"/>
              </w:rPr>
            </w:pPr>
          </w:p>
        </w:tc>
      </w:tr>
    </w:tbl>
    <w:p w14:paraId="480F103E" w14:textId="1B1461B0" w:rsidR="00D8166D" w:rsidRDefault="00D8166D" w:rsidP="008A4352">
      <w:pPr>
        <w:spacing w:after="0" w:line="240" w:lineRule="auto"/>
        <w:rPr>
          <w:rFonts w:ascii="Times New Roman" w:hAnsi="Times New Roman" w:cs="Times New Roman"/>
          <w:sz w:val="20"/>
          <w:szCs w:val="20"/>
        </w:rPr>
      </w:pPr>
    </w:p>
    <w:p w14:paraId="77F46910" w14:textId="766F79A1" w:rsidR="00BD2F7E" w:rsidRDefault="00BD2F7E" w:rsidP="008A4352">
      <w:pPr>
        <w:spacing w:after="0" w:line="240" w:lineRule="auto"/>
        <w:rPr>
          <w:rFonts w:ascii="Times New Roman" w:hAnsi="Times New Roman" w:cs="Times New Roman"/>
          <w:sz w:val="20"/>
          <w:szCs w:val="20"/>
        </w:rPr>
      </w:pPr>
    </w:p>
    <w:p w14:paraId="2D9A0834" w14:textId="6609AB2C" w:rsidR="00BD2F7E" w:rsidRDefault="00BD2F7E" w:rsidP="008A4352">
      <w:pPr>
        <w:spacing w:after="0" w:line="240" w:lineRule="auto"/>
        <w:rPr>
          <w:rFonts w:ascii="Times New Roman" w:hAnsi="Times New Roman" w:cs="Times New Roman"/>
          <w:sz w:val="20"/>
          <w:szCs w:val="20"/>
        </w:rPr>
      </w:pPr>
      <w:r>
        <w:rPr>
          <w:rFonts w:ascii="Times New Roman" w:hAnsi="Times New Roman" w:cs="Times New Roman"/>
          <w:sz w:val="20"/>
          <w:szCs w:val="20"/>
        </w:rPr>
        <w:t>Members:</w:t>
      </w:r>
    </w:p>
    <w:p w14:paraId="4DA1B890" w14:textId="0900DD20" w:rsidR="00BD2F7E" w:rsidRDefault="00BD2F7E" w:rsidP="008A4352">
      <w:pPr>
        <w:spacing w:after="0" w:line="240" w:lineRule="auto"/>
        <w:rPr>
          <w:rFonts w:ascii="Times New Roman" w:hAnsi="Times New Roman" w:cs="Times New Roman"/>
          <w:sz w:val="20"/>
          <w:szCs w:val="20"/>
        </w:rPr>
      </w:pPr>
      <w:r>
        <w:rPr>
          <w:rFonts w:ascii="Times New Roman" w:hAnsi="Times New Roman" w:cs="Times New Roman"/>
          <w:sz w:val="20"/>
          <w:szCs w:val="20"/>
        </w:rPr>
        <w:t>HDOSE: Latoya Haynes-</w:t>
      </w:r>
      <w:proofErr w:type="spellStart"/>
      <w:r>
        <w:rPr>
          <w:rFonts w:ascii="Times New Roman" w:hAnsi="Times New Roman" w:cs="Times New Roman"/>
          <w:sz w:val="20"/>
          <w:szCs w:val="20"/>
        </w:rPr>
        <w:t>Thoby</w:t>
      </w:r>
      <w:proofErr w:type="spellEnd"/>
      <w:r>
        <w:rPr>
          <w:rFonts w:ascii="Times New Roman" w:hAnsi="Times New Roman" w:cs="Times New Roman"/>
          <w:sz w:val="20"/>
          <w:szCs w:val="20"/>
        </w:rPr>
        <w:t xml:space="preserve"> (2), Justin </w:t>
      </w:r>
      <w:proofErr w:type="spellStart"/>
      <w:r>
        <w:rPr>
          <w:rFonts w:ascii="Times New Roman" w:hAnsi="Times New Roman" w:cs="Times New Roman"/>
          <w:sz w:val="20"/>
          <w:szCs w:val="20"/>
        </w:rPr>
        <w:t>Ortagus</w:t>
      </w:r>
      <w:proofErr w:type="spellEnd"/>
      <w:r>
        <w:rPr>
          <w:rFonts w:ascii="Times New Roman" w:hAnsi="Times New Roman" w:cs="Times New Roman"/>
          <w:sz w:val="20"/>
          <w:szCs w:val="20"/>
        </w:rPr>
        <w:t xml:space="preserve"> (2)</w:t>
      </w:r>
    </w:p>
    <w:p w14:paraId="012FCE19" w14:textId="193B937B" w:rsidR="00BD2F7E" w:rsidRDefault="00BD2F7E" w:rsidP="008A4352">
      <w:pPr>
        <w:spacing w:after="0" w:line="240" w:lineRule="auto"/>
        <w:rPr>
          <w:rFonts w:ascii="Times New Roman" w:hAnsi="Times New Roman" w:cs="Times New Roman"/>
          <w:sz w:val="20"/>
          <w:szCs w:val="20"/>
        </w:rPr>
      </w:pPr>
      <w:r>
        <w:rPr>
          <w:rFonts w:ascii="Times New Roman" w:hAnsi="Times New Roman" w:cs="Times New Roman"/>
          <w:sz w:val="20"/>
          <w:szCs w:val="20"/>
        </w:rPr>
        <w:t>SESPECS: Kristi Cheyney-</w:t>
      </w:r>
      <w:proofErr w:type="spellStart"/>
      <w:r>
        <w:rPr>
          <w:rFonts w:ascii="Times New Roman" w:hAnsi="Times New Roman" w:cs="Times New Roman"/>
          <w:sz w:val="20"/>
          <w:szCs w:val="20"/>
        </w:rPr>
        <w:t>Collante</w:t>
      </w:r>
      <w:proofErr w:type="spellEnd"/>
      <w:r>
        <w:rPr>
          <w:rFonts w:ascii="Times New Roman" w:hAnsi="Times New Roman" w:cs="Times New Roman"/>
          <w:sz w:val="20"/>
          <w:szCs w:val="20"/>
        </w:rPr>
        <w:t xml:space="preserve"> (1), Tara </w:t>
      </w:r>
      <w:proofErr w:type="spellStart"/>
      <w:r>
        <w:rPr>
          <w:rFonts w:ascii="Times New Roman" w:hAnsi="Times New Roman" w:cs="Times New Roman"/>
          <w:sz w:val="20"/>
          <w:szCs w:val="20"/>
        </w:rPr>
        <w:t>Mathien</w:t>
      </w:r>
      <w:proofErr w:type="spellEnd"/>
      <w:r>
        <w:rPr>
          <w:rFonts w:ascii="Times New Roman" w:hAnsi="Times New Roman" w:cs="Times New Roman"/>
          <w:sz w:val="20"/>
          <w:szCs w:val="20"/>
        </w:rPr>
        <w:t xml:space="preserve"> (2)</w:t>
      </w:r>
    </w:p>
    <w:p w14:paraId="1D95A316" w14:textId="0A6746CF" w:rsidR="00BD2F7E" w:rsidRDefault="00BD2F7E" w:rsidP="008A43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STL: </w:t>
      </w:r>
      <w:proofErr w:type="spellStart"/>
      <w:r>
        <w:rPr>
          <w:rFonts w:ascii="Times New Roman" w:hAnsi="Times New Roman" w:cs="Times New Roman"/>
          <w:sz w:val="20"/>
          <w:szCs w:val="20"/>
        </w:rPr>
        <w:t>Danling</w:t>
      </w:r>
      <w:proofErr w:type="spellEnd"/>
      <w:r>
        <w:rPr>
          <w:rFonts w:ascii="Times New Roman" w:hAnsi="Times New Roman" w:cs="Times New Roman"/>
          <w:sz w:val="20"/>
          <w:szCs w:val="20"/>
        </w:rPr>
        <w:t xml:space="preserve"> Fu (2), Kara Dawson (2)</w:t>
      </w:r>
    </w:p>
    <w:p w14:paraId="37141E49" w14:textId="19DA9B02" w:rsidR="00172DF4" w:rsidRDefault="00172DF4" w:rsidP="008A4352">
      <w:pPr>
        <w:spacing w:after="0" w:line="240" w:lineRule="auto"/>
        <w:rPr>
          <w:rFonts w:ascii="Times New Roman" w:hAnsi="Times New Roman" w:cs="Times New Roman"/>
          <w:sz w:val="20"/>
          <w:szCs w:val="20"/>
        </w:rPr>
      </w:pPr>
    </w:p>
    <w:p w14:paraId="32FD0E45" w14:textId="41131F18" w:rsidR="00172DF4" w:rsidRDefault="00172DF4" w:rsidP="00172DF4">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FPC Representative Responsibilities:</w:t>
      </w:r>
    </w:p>
    <w:p w14:paraId="3119439C" w14:textId="77777777" w:rsidR="00D178ED" w:rsidRPr="00D178ED" w:rsidRDefault="00172DF4" w:rsidP="00172DF4">
      <w:pPr>
        <w:numPr>
          <w:ilvl w:val="0"/>
          <w:numId w:val="41"/>
        </w:numPr>
        <w:spacing w:after="0" w:line="240" w:lineRule="auto"/>
        <w:rPr>
          <w:rFonts w:ascii="Times New Roman" w:hAnsi="Times New Roman" w:cs="Times New Roman"/>
          <w:sz w:val="20"/>
          <w:szCs w:val="20"/>
        </w:rPr>
      </w:pPr>
      <w:r w:rsidRPr="00D178ED">
        <w:rPr>
          <w:rFonts w:ascii="Times New Roman" w:hAnsi="Times New Roman" w:cs="Times New Roman"/>
          <w:i/>
          <w:iCs/>
          <w:sz w:val="20"/>
          <w:szCs w:val="20"/>
        </w:rPr>
        <w:t>Meet with Angela and Julie during the first week of the semester to discuss possible committee goals, along with carryover from last year</w:t>
      </w:r>
    </w:p>
    <w:p w14:paraId="314389A5" w14:textId="06F56D57" w:rsidR="00D178ED" w:rsidRPr="00D178ED" w:rsidRDefault="00172DF4" w:rsidP="00172DF4">
      <w:pPr>
        <w:numPr>
          <w:ilvl w:val="0"/>
          <w:numId w:val="41"/>
        </w:numPr>
        <w:spacing w:after="0" w:line="240" w:lineRule="auto"/>
        <w:rPr>
          <w:rFonts w:ascii="Times New Roman" w:hAnsi="Times New Roman" w:cs="Times New Roman"/>
          <w:sz w:val="20"/>
          <w:szCs w:val="20"/>
        </w:rPr>
      </w:pPr>
      <w:r w:rsidRPr="00D178ED">
        <w:rPr>
          <w:rFonts w:ascii="Times New Roman" w:hAnsi="Times New Roman" w:cs="Times New Roman"/>
          <w:sz w:val="20"/>
          <w:szCs w:val="20"/>
        </w:rPr>
        <w:t xml:space="preserve">Set the first meeting date. This fall, we will try to convene FPC standing committee work on Mondays between 2-4, if possible. </w:t>
      </w:r>
      <w:r w:rsidR="00880183">
        <w:rPr>
          <w:rFonts w:ascii="Times New Roman" w:hAnsi="Times New Roman" w:cs="Times New Roman"/>
          <w:b/>
          <w:bCs/>
          <w:sz w:val="20"/>
          <w:szCs w:val="20"/>
        </w:rPr>
        <w:t>Please schedule the first meeting before the 9/20/21 Fall Faculty Meeting</w:t>
      </w:r>
    </w:p>
    <w:p w14:paraId="07044DD8" w14:textId="5D975ACA" w:rsidR="00D178ED" w:rsidRPr="00D178ED" w:rsidRDefault="00172DF4" w:rsidP="00172DF4">
      <w:pPr>
        <w:numPr>
          <w:ilvl w:val="0"/>
          <w:numId w:val="41"/>
        </w:numPr>
        <w:spacing w:after="0" w:line="240" w:lineRule="auto"/>
        <w:rPr>
          <w:rFonts w:ascii="Times New Roman" w:hAnsi="Times New Roman" w:cs="Times New Roman"/>
          <w:sz w:val="20"/>
          <w:szCs w:val="20"/>
        </w:rPr>
      </w:pPr>
      <w:r w:rsidRPr="00D178ED">
        <w:rPr>
          <w:rFonts w:ascii="Times New Roman" w:hAnsi="Times New Roman" w:cs="Times New Roman"/>
          <w:sz w:val="20"/>
          <w:szCs w:val="20"/>
        </w:rPr>
        <w:t>Facilitate the election of a committee chair</w:t>
      </w:r>
      <w:r w:rsidR="002A07F4">
        <w:rPr>
          <w:rFonts w:ascii="Times New Roman" w:hAnsi="Times New Roman" w:cs="Times New Roman"/>
          <w:sz w:val="20"/>
          <w:szCs w:val="20"/>
        </w:rPr>
        <w:t xml:space="preserve"> – Kristi </w:t>
      </w:r>
    </w:p>
    <w:p w14:paraId="4B2B1536" w14:textId="543F56E2" w:rsidR="00D178ED" w:rsidRPr="00D178ED" w:rsidRDefault="00172DF4" w:rsidP="00172DF4">
      <w:pPr>
        <w:numPr>
          <w:ilvl w:val="0"/>
          <w:numId w:val="41"/>
        </w:numPr>
        <w:spacing w:after="0" w:line="240" w:lineRule="auto"/>
        <w:rPr>
          <w:rFonts w:ascii="Times New Roman" w:hAnsi="Times New Roman" w:cs="Times New Roman"/>
          <w:sz w:val="20"/>
          <w:szCs w:val="20"/>
        </w:rPr>
      </w:pPr>
      <w:r w:rsidRPr="00D178ED">
        <w:rPr>
          <w:rFonts w:ascii="Times New Roman" w:hAnsi="Times New Roman" w:cs="Times New Roman"/>
          <w:sz w:val="20"/>
          <w:szCs w:val="20"/>
        </w:rPr>
        <w:t>Work with the committee chair to set goals for the year</w:t>
      </w:r>
      <w:r w:rsidR="002A07F4">
        <w:rPr>
          <w:rFonts w:ascii="Times New Roman" w:hAnsi="Times New Roman" w:cs="Times New Roman"/>
          <w:sz w:val="20"/>
          <w:szCs w:val="20"/>
        </w:rPr>
        <w:t xml:space="preserve"> – goals identified as: </w:t>
      </w:r>
    </w:p>
    <w:p w14:paraId="4ED985DE" w14:textId="77777777" w:rsidR="00D178ED" w:rsidRPr="00D178ED" w:rsidRDefault="00172DF4" w:rsidP="00172DF4">
      <w:pPr>
        <w:numPr>
          <w:ilvl w:val="0"/>
          <w:numId w:val="41"/>
        </w:numPr>
        <w:spacing w:after="0" w:line="240" w:lineRule="auto"/>
        <w:rPr>
          <w:rFonts w:ascii="Times New Roman" w:hAnsi="Times New Roman" w:cs="Times New Roman"/>
          <w:sz w:val="20"/>
          <w:szCs w:val="20"/>
        </w:rPr>
      </w:pPr>
      <w:r w:rsidRPr="00D178ED">
        <w:rPr>
          <w:rFonts w:ascii="Times New Roman" w:hAnsi="Times New Roman" w:cs="Times New Roman"/>
          <w:sz w:val="20"/>
          <w:szCs w:val="20"/>
        </w:rPr>
        <w:t>Ensure that committees are working within the FPC constitution and collective bargaining agreements</w:t>
      </w:r>
    </w:p>
    <w:p w14:paraId="09F179E8" w14:textId="1225BD64" w:rsidR="00D178ED" w:rsidRDefault="00172DF4" w:rsidP="00172DF4">
      <w:pPr>
        <w:numPr>
          <w:ilvl w:val="0"/>
          <w:numId w:val="41"/>
        </w:numPr>
        <w:spacing w:after="0" w:line="240" w:lineRule="auto"/>
        <w:rPr>
          <w:rFonts w:ascii="Times New Roman" w:hAnsi="Times New Roman" w:cs="Times New Roman"/>
          <w:sz w:val="20"/>
          <w:szCs w:val="20"/>
        </w:rPr>
      </w:pPr>
      <w:r w:rsidRPr="00D178ED">
        <w:rPr>
          <w:rFonts w:ascii="Times New Roman" w:hAnsi="Times New Roman" w:cs="Times New Roman"/>
          <w:sz w:val="20"/>
          <w:szCs w:val="20"/>
        </w:rPr>
        <w:t>Report on committee work to FPC each month</w:t>
      </w:r>
      <w:r w:rsidR="002A07F4">
        <w:rPr>
          <w:rFonts w:ascii="Times New Roman" w:hAnsi="Times New Roman" w:cs="Times New Roman"/>
          <w:sz w:val="20"/>
          <w:szCs w:val="20"/>
        </w:rPr>
        <w:t xml:space="preserve"> – Tara (Kristi report on 9/20)</w:t>
      </w:r>
    </w:p>
    <w:p w14:paraId="4CDF6DA3" w14:textId="1E626474" w:rsidR="00C801B4" w:rsidRDefault="00C801B4" w:rsidP="00172DF4">
      <w:pPr>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Meeting schedule – 1x month Mondays 3:45-4:45</w:t>
      </w:r>
    </w:p>
    <w:p w14:paraId="47D2AF5D" w14:textId="0DAFEEE3" w:rsidR="00880183" w:rsidRDefault="00521DC3" w:rsidP="00880183">
      <w:pPr>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Work with the chair, ensure that committee minutes are </w:t>
      </w:r>
      <w:r w:rsidR="00880183">
        <w:rPr>
          <w:rFonts w:ascii="Times New Roman" w:hAnsi="Times New Roman" w:cs="Times New Roman"/>
          <w:sz w:val="20"/>
          <w:szCs w:val="20"/>
        </w:rPr>
        <w:t>uploaded to the google folder</w:t>
      </w:r>
      <w:r>
        <w:rPr>
          <w:rFonts w:ascii="Times New Roman" w:hAnsi="Times New Roman" w:cs="Times New Roman"/>
          <w:sz w:val="20"/>
          <w:szCs w:val="20"/>
        </w:rPr>
        <w:t xml:space="preserve"> for posting to the website each month</w:t>
      </w:r>
      <w:r w:rsidR="00880183">
        <w:rPr>
          <w:rFonts w:ascii="Times New Roman" w:hAnsi="Times New Roman" w:cs="Times New Roman"/>
          <w:sz w:val="20"/>
          <w:szCs w:val="20"/>
        </w:rPr>
        <w:t xml:space="preserve">: </w:t>
      </w:r>
      <w:hyperlink r:id="rId6" w:history="1">
        <w:r w:rsidR="00880183" w:rsidRPr="005E21A6">
          <w:rPr>
            <w:rStyle w:val="Hyperlink"/>
            <w:rFonts w:ascii="Times New Roman" w:hAnsi="Times New Roman" w:cs="Times New Roman"/>
            <w:sz w:val="20"/>
            <w:szCs w:val="20"/>
          </w:rPr>
          <w:t>https://drive.google.com/drive/folders/1du0p01S_BhrcTd-MRgaBfXBdDcF8-CTl?usp=sharing</w:t>
        </w:r>
      </w:hyperlink>
    </w:p>
    <w:p w14:paraId="2072CDF9" w14:textId="77777777" w:rsidR="00880183" w:rsidRDefault="00880183" w:rsidP="00880183">
      <w:pPr>
        <w:spacing w:after="0" w:line="240" w:lineRule="auto"/>
        <w:rPr>
          <w:rFonts w:ascii="Times New Roman" w:hAnsi="Times New Roman" w:cs="Times New Roman"/>
          <w:sz w:val="20"/>
          <w:szCs w:val="20"/>
        </w:rPr>
      </w:pPr>
    </w:p>
    <w:p w14:paraId="0FDE6E1C" w14:textId="2E7BE9F0" w:rsidR="00D178ED" w:rsidRDefault="00172DF4" w:rsidP="00880183">
      <w:pPr>
        <w:pStyle w:val="ListParagraph"/>
        <w:numPr>
          <w:ilvl w:val="0"/>
          <w:numId w:val="42"/>
        </w:numPr>
        <w:spacing w:after="0" w:line="240" w:lineRule="auto"/>
        <w:rPr>
          <w:rFonts w:ascii="Times New Roman" w:hAnsi="Times New Roman" w:cs="Times New Roman"/>
          <w:sz w:val="20"/>
          <w:szCs w:val="20"/>
        </w:rPr>
      </w:pPr>
      <w:r w:rsidRPr="00880183">
        <w:rPr>
          <w:rFonts w:ascii="Times New Roman" w:hAnsi="Times New Roman" w:cs="Times New Roman"/>
          <w:sz w:val="20"/>
          <w:szCs w:val="20"/>
        </w:rPr>
        <w:t>Ensure the chair submits the final committee report</w:t>
      </w:r>
      <w:r w:rsidR="003618D0">
        <w:rPr>
          <w:rFonts w:ascii="Times New Roman" w:hAnsi="Times New Roman" w:cs="Times New Roman"/>
          <w:sz w:val="20"/>
          <w:szCs w:val="20"/>
        </w:rPr>
        <w:t xml:space="preserve"> in April</w:t>
      </w:r>
    </w:p>
    <w:p w14:paraId="1AA04115" w14:textId="29F4C24C" w:rsidR="00880183" w:rsidRDefault="00880183" w:rsidP="00880183">
      <w:pPr>
        <w:spacing w:after="0" w:line="240" w:lineRule="auto"/>
        <w:rPr>
          <w:rFonts w:ascii="Times New Roman" w:hAnsi="Times New Roman" w:cs="Times New Roman"/>
          <w:sz w:val="20"/>
          <w:szCs w:val="20"/>
        </w:rPr>
      </w:pPr>
    </w:p>
    <w:p w14:paraId="2DCEA4B8" w14:textId="6BABB73C" w:rsidR="00880183" w:rsidRDefault="00C801B4" w:rsidP="00880183">
      <w:pPr>
        <w:spacing w:after="0" w:line="240" w:lineRule="auto"/>
        <w:rPr>
          <w:rFonts w:ascii="Times New Roman" w:hAnsi="Times New Roman" w:cs="Times New Roman"/>
          <w:sz w:val="20"/>
          <w:szCs w:val="20"/>
        </w:rPr>
      </w:pPr>
      <w:hyperlink r:id="rId7" w:history="1">
        <w:r w:rsidR="00880183" w:rsidRPr="005E21A6">
          <w:rPr>
            <w:rStyle w:val="Hyperlink"/>
            <w:rFonts w:ascii="Times New Roman" w:hAnsi="Times New Roman" w:cs="Times New Roman"/>
            <w:sz w:val="20"/>
            <w:szCs w:val="20"/>
          </w:rPr>
          <w:t>https://education.ufl.edu/committees/faculty-affairs/</w:t>
        </w:r>
      </w:hyperlink>
    </w:p>
    <w:p w14:paraId="320751C0" w14:textId="35A15F86" w:rsidR="00880183" w:rsidRDefault="00880183" w:rsidP="00880183">
      <w:pPr>
        <w:spacing w:after="0" w:line="240" w:lineRule="auto"/>
        <w:rPr>
          <w:rFonts w:ascii="Times New Roman" w:hAnsi="Times New Roman" w:cs="Times New Roman"/>
          <w:sz w:val="20"/>
          <w:szCs w:val="20"/>
        </w:rPr>
      </w:pPr>
    </w:p>
    <w:p w14:paraId="0ADA72B9" w14:textId="77777777" w:rsidR="00880183" w:rsidRPr="00880183" w:rsidRDefault="00880183" w:rsidP="00880183">
      <w:pPr>
        <w:spacing w:after="0" w:line="240" w:lineRule="auto"/>
        <w:rPr>
          <w:rFonts w:ascii="Times New Roman" w:hAnsi="Times New Roman" w:cs="Times New Roman"/>
          <w:sz w:val="20"/>
          <w:szCs w:val="20"/>
        </w:rPr>
      </w:pPr>
    </w:p>
    <w:p w14:paraId="77EF8FFF" w14:textId="3C741409" w:rsidR="00880183" w:rsidRDefault="00880183" w:rsidP="00880183">
      <w:pPr>
        <w:spacing w:after="0" w:line="240" w:lineRule="auto"/>
        <w:rPr>
          <w:rFonts w:ascii="Times New Roman" w:hAnsi="Times New Roman" w:cs="Times New Roman"/>
          <w:sz w:val="20"/>
          <w:szCs w:val="20"/>
        </w:rPr>
      </w:pPr>
    </w:p>
    <w:p w14:paraId="4C317469" w14:textId="77777777" w:rsidR="00880183" w:rsidRPr="00D178ED" w:rsidRDefault="00880183" w:rsidP="00880183">
      <w:pPr>
        <w:spacing w:after="0" w:line="240" w:lineRule="auto"/>
        <w:rPr>
          <w:rFonts w:ascii="Times New Roman" w:hAnsi="Times New Roman" w:cs="Times New Roman"/>
          <w:sz w:val="20"/>
          <w:szCs w:val="20"/>
        </w:rPr>
      </w:pPr>
    </w:p>
    <w:sectPr w:rsidR="00880183" w:rsidRPr="00D178ED" w:rsidSect="00F03AD3">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Grande">
    <w:altName w:val="Calibri"/>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C23"/>
    <w:multiLevelType w:val="hybridMultilevel"/>
    <w:tmpl w:val="A4387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471FE"/>
    <w:multiLevelType w:val="hybridMultilevel"/>
    <w:tmpl w:val="BEAC5A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0524B"/>
    <w:multiLevelType w:val="hybridMultilevel"/>
    <w:tmpl w:val="025E23C2"/>
    <w:lvl w:ilvl="0" w:tplc="457E698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276CCCA2">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35F9C"/>
    <w:multiLevelType w:val="hybridMultilevel"/>
    <w:tmpl w:val="5B30B4C2"/>
    <w:lvl w:ilvl="0" w:tplc="8C6A527E">
      <w:start w:val="1"/>
      <w:numFmt w:val="decimal"/>
      <w:lvlText w:val="%1."/>
      <w:lvlJc w:val="left"/>
      <w:pPr>
        <w:ind w:left="36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E1901"/>
    <w:multiLevelType w:val="hybridMultilevel"/>
    <w:tmpl w:val="F9027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B4E99"/>
    <w:multiLevelType w:val="hybridMultilevel"/>
    <w:tmpl w:val="8CC61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1206E"/>
    <w:multiLevelType w:val="hybridMultilevel"/>
    <w:tmpl w:val="BAC6DFC6"/>
    <w:lvl w:ilvl="0" w:tplc="8CE00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831A9"/>
    <w:multiLevelType w:val="hybridMultilevel"/>
    <w:tmpl w:val="616E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C4A68"/>
    <w:multiLevelType w:val="hybridMultilevel"/>
    <w:tmpl w:val="5868F33E"/>
    <w:lvl w:ilvl="0" w:tplc="37762BCC">
      <w:start w:val="1"/>
      <w:numFmt w:val="bullet"/>
      <w:lvlText w:val="‣"/>
      <w:lvlJc w:val="left"/>
      <w:pPr>
        <w:tabs>
          <w:tab w:val="num" w:pos="720"/>
        </w:tabs>
        <w:ind w:left="720" w:hanging="360"/>
      </w:pPr>
      <w:rPr>
        <w:rFonts w:ascii="LucidaGrande" w:hAnsi="LucidaGrande" w:hint="default"/>
      </w:rPr>
    </w:lvl>
    <w:lvl w:ilvl="1" w:tplc="7D06DA8C" w:tentative="1">
      <w:start w:val="1"/>
      <w:numFmt w:val="bullet"/>
      <w:lvlText w:val="‣"/>
      <w:lvlJc w:val="left"/>
      <w:pPr>
        <w:tabs>
          <w:tab w:val="num" w:pos="1440"/>
        </w:tabs>
        <w:ind w:left="1440" w:hanging="360"/>
      </w:pPr>
      <w:rPr>
        <w:rFonts w:ascii="LucidaGrande" w:hAnsi="LucidaGrande" w:hint="default"/>
      </w:rPr>
    </w:lvl>
    <w:lvl w:ilvl="2" w:tplc="F02C5818" w:tentative="1">
      <w:start w:val="1"/>
      <w:numFmt w:val="bullet"/>
      <w:lvlText w:val="‣"/>
      <w:lvlJc w:val="left"/>
      <w:pPr>
        <w:tabs>
          <w:tab w:val="num" w:pos="2160"/>
        </w:tabs>
        <w:ind w:left="2160" w:hanging="360"/>
      </w:pPr>
      <w:rPr>
        <w:rFonts w:ascii="LucidaGrande" w:hAnsi="LucidaGrande" w:hint="default"/>
      </w:rPr>
    </w:lvl>
    <w:lvl w:ilvl="3" w:tplc="1B08606A" w:tentative="1">
      <w:start w:val="1"/>
      <w:numFmt w:val="bullet"/>
      <w:lvlText w:val="‣"/>
      <w:lvlJc w:val="left"/>
      <w:pPr>
        <w:tabs>
          <w:tab w:val="num" w:pos="2880"/>
        </w:tabs>
        <w:ind w:left="2880" w:hanging="360"/>
      </w:pPr>
      <w:rPr>
        <w:rFonts w:ascii="LucidaGrande" w:hAnsi="LucidaGrande" w:hint="default"/>
      </w:rPr>
    </w:lvl>
    <w:lvl w:ilvl="4" w:tplc="2E5603A0" w:tentative="1">
      <w:start w:val="1"/>
      <w:numFmt w:val="bullet"/>
      <w:lvlText w:val="‣"/>
      <w:lvlJc w:val="left"/>
      <w:pPr>
        <w:tabs>
          <w:tab w:val="num" w:pos="3600"/>
        </w:tabs>
        <w:ind w:left="3600" w:hanging="360"/>
      </w:pPr>
      <w:rPr>
        <w:rFonts w:ascii="LucidaGrande" w:hAnsi="LucidaGrande" w:hint="default"/>
      </w:rPr>
    </w:lvl>
    <w:lvl w:ilvl="5" w:tplc="4886C702" w:tentative="1">
      <w:start w:val="1"/>
      <w:numFmt w:val="bullet"/>
      <w:lvlText w:val="‣"/>
      <w:lvlJc w:val="left"/>
      <w:pPr>
        <w:tabs>
          <w:tab w:val="num" w:pos="4320"/>
        </w:tabs>
        <w:ind w:left="4320" w:hanging="360"/>
      </w:pPr>
      <w:rPr>
        <w:rFonts w:ascii="LucidaGrande" w:hAnsi="LucidaGrande" w:hint="default"/>
      </w:rPr>
    </w:lvl>
    <w:lvl w:ilvl="6" w:tplc="2A1CC100" w:tentative="1">
      <w:start w:val="1"/>
      <w:numFmt w:val="bullet"/>
      <w:lvlText w:val="‣"/>
      <w:lvlJc w:val="left"/>
      <w:pPr>
        <w:tabs>
          <w:tab w:val="num" w:pos="5040"/>
        </w:tabs>
        <w:ind w:left="5040" w:hanging="360"/>
      </w:pPr>
      <w:rPr>
        <w:rFonts w:ascii="LucidaGrande" w:hAnsi="LucidaGrande" w:hint="default"/>
      </w:rPr>
    </w:lvl>
    <w:lvl w:ilvl="7" w:tplc="A156043E" w:tentative="1">
      <w:start w:val="1"/>
      <w:numFmt w:val="bullet"/>
      <w:lvlText w:val="‣"/>
      <w:lvlJc w:val="left"/>
      <w:pPr>
        <w:tabs>
          <w:tab w:val="num" w:pos="5760"/>
        </w:tabs>
        <w:ind w:left="5760" w:hanging="360"/>
      </w:pPr>
      <w:rPr>
        <w:rFonts w:ascii="LucidaGrande" w:hAnsi="LucidaGrande" w:hint="default"/>
      </w:rPr>
    </w:lvl>
    <w:lvl w:ilvl="8" w:tplc="00061E9C" w:tentative="1">
      <w:start w:val="1"/>
      <w:numFmt w:val="bullet"/>
      <w:lvlText w:val="‣"/>
      <w:lvlJc w:val="left"/>
      <w:pPr>
        <w:tabs>
          <w:tab w:val="num" w:pos="6480"/>
        </w:tabs>
        <w:ind w:left="6480" w:hanging="360"/>
      </w:pPr>
      <w:rPr>
        <w:rFonts w:ascii="LucidaGrande" w:hAnsi="LucidaGrande" w:hint="default"/>
      </w:rPr>
    </w:lvl>
  </w:abstractNum>
  <w:abstractNum w:abstractNumId="9" w15:restartNumberingAfterBreak="0">
    <w:nsid w:val="12D934B4"/>
    <w:multiLevelType w:val="hybridMultilevel"/>
    <w:tmpl w:val="3530C106"/>
    <w:lvl w:ilvl="0" w:tplc="569AD5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C3A01"/>
    <w:multiLevelType w:val="multilevel"/>
    <w:tmpl w:val="D2F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8778B8"/>
    <w:multiLevelType w:val="hybridMultilevel"/>
    <w:tmpl w:val="4FD64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46148"/>
    <w:multiLevelType w:val="hybridMultilevel"/>
    <w:tmpl w:val="1506F6F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735D29"/>
    <w:multiLevelType w:val="hybridMultilevel"/>
    <w:tmpl w:val="806C3F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1263C"/>
    <w:multiLevelType w:val="hybridMultilevel"/>
    <w:tmpl w:val="116C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39E"/>
    <w:multiLevelType w:val="hybridMultilevel"/>
    <w:tmpl w:val="9F62FE70"/>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C553D4"/>
    <w:multiLevelType w:val="hybridMultilevel"/>
    <w:tmpl w:val="5D5284DA"/>
    <w:lvl w:ilvl="0" w:tplc="4490D27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4A45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43C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0B2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472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08D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87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E4B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03B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C375A3"/>
    <w:multiLevelType w:val="hybridMultilevel"/>
    <w:tmpl w:val="D6BC7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6A5378"/>
    <w:multiLevelType w:val="hybridMultilevel"/>
    <w:tmpl w:val="D4D81A68"/>
    <w:lvl w:ilvl="0" w:tplc="569AD59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46684"/>
    <w:multiLevelType w:val="hybridMultilevel"/>
    <w:tmpl w:val="2D82271C"/>
    <w:lvl w:ilvl="0" w:tplc="03CCE8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F24CED"/>
    <w:multiLevelType w:val="hybridMultilevel"/>
    <w:tmpl w:val="310AB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36EB1"/>
    <w:multiLevelType w:val="hybridMultilevel"/>
    <w:tmpl w:val="89F4E526"/>
    <w:lvl w:ilvl="0" w:tplc="53D452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65EC3"/>
    <w:multiLevelType w:val="hybridMultilevel"/>
    <w:tmpl w:val="BC50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25502"/>
    <w:multiLevelType w:val="hybridMultilevel"/>
    <w:tmpl w:val="04048F24"/>
    <w:lvl w:ilvl="0" w:tplc="B1E4012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012EA"/>
    <w:multiLevelType w:val="hybridMultilevel"/>
    <w:tmpl w:val="1496203C"/>
    <w:lvl w:ilvl="0" w:tplc="097E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2EA2"/>
    <w:multiLevelType w:val="hybridMultilevel"/>
    <w:tmpl w:val="F2CE8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EB18F4"/>
    <w:multiLevelType w:val="hybridMultilevel"/>
    <w:tmpl w:val="E402B368"/>
    <w:lvl w:ilvl="0" w:tplc="8C6A527E">
      <w:start w:val="1"/>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7269C"/>
    <w:multiLevelType w:val="hybridMultilevel"/>
    <w:tmpl w:val="BEBA7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04AF4"/>
    <w:multiLevelType w:val="hybridMultilevel"/>
    <w:tmpl w:val="BA8E6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60534"/>
    <w:multiLevelType w:val="hybridMultilevel"/>
    <w:tmpl w:val="4F64F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6F4D3A"/>
    <w:multiLevelType w:val="hybridMultilevel"/>
    <w:tmpl w:val="F81A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9455F"/>
    <w:multiLevelType w:val="hybridMultilevel"/>
    <w:tmpl w:val="1496203C"/>
    <w:lvl w:ilvl="0" w:tplc="097E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93BF8"/>
    <w:multiLevelType w:val="hybridMultilevel"/>
    <w:tmpl w:val="984C4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0D2D04"/>
    <w:multiLevelType w:val="hybridMultilevel"/>
    <w:tmpl w:val="77A44F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474271"/>
    <w:multiLevelType w:val="hybridMultilevel"/>
    <w:tmpl w:val="F60C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31854"/>
    <w:multiLevelType w:val="hybridMultilevel"/>
    <w:tmpl w:val="76306ACE"/>
    <w:lvl w:ilvl="0" w:tplc="37762BCC">
      <w:start w:val="1"/>
      <w:numFmt w:val="bullet"/>
      <w:lvlText w:val="‣"/>
      <w:lvlJc w:val="left"/>
      <w:pPr>
        <w:ind w:left="720" w:hanging="360"/>
      </w:pPr>
      <w:rPr>
        <w:rFonts w:ascii="LucidaGrande" w:hAnsi="Lucida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007C3"/>
    <w:multiLevelType w:val="multilevel"/>
    <w:tmpl w:val="D3C0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002F91"/>
    <w:multiLevelType w:val="hybridMultilevel"/>
    <w:tmpl w:val="38823D6A"/>
    <w:lvl w:ilvl="0" w:tplc="8C6A527E">
      <w:start w:val="1"/>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4B656A"/>
    <w:multiLevelType w:val="hybridMultilevel"/>
    <w:tmpl w:val="E4AE84E8"/>
    <w:lvl w:ilvl="0" w:tplc="21F898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64FD2"/>
    <w:multiLevelType w:val="hybridMultilevel"/>
    <w:tmpl w:val="7D769CA6"/>
    <w:lvl w:ilvl="0" w:tplc="FF108E4C">
      <w:start w:val="1"/>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A445A"/>
    <w:multiLevelType w:val="hybridMultilevel"/>
    <w:tmpl w:val="D0ACD080"/>
    <w:lvl w:ilvl="0" w:tplc="569AD5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3"/>
  </w:num>
  <w:num w:numId="4">
    <w:abstractNumId w:val="20"/>
  </w:num>
  <w:num w:numId="5">
    <w:abstractNumId w:val="34"/>
  </w:num>
  <w:num w:numId="6">
    <w:abstractNumId w:val="15"/>
  </w:num>
  <w:num w:numId="7">
    <w:abstractNumId w:val="29"/>
  </w:num>
  <w:num w:numId="8">
    <w:abstractNumId w:val="21"/>
  </w:num>
  <w:num w:numId="9">
    <w:abstractNumId w:val="25"/>
  </w:num>
  <w:num w:numId="10">
    <w:abstractNumId w:val="10"/>
  </w:num>
  <w:num w:numId="11">
    <w:abstractNumId w:val="11"/>
  </w:num>
  <w:num w:numId="12">
    <w:abstractNumId w:val="38"/>
  </w:num>
  <w:num w:numId="13">
    <w:abstractNumId w:val="36"/>
  </w:num>
  <w:num w:numId="14">
    <w:abstractNumId w:val="13"/>
  </w:num>
  <w:num w:numId="15">
    <w:abstractNumId w:val="33"/>
  </w:num>
  <w:num w:numId="16">
    <w:abstractNumId w:val="27"/>
  </w:num>
  <w:num w:numId="17">
    <w:abstractNumId w:val="28"/>
  </w:num>
  <w:num w:numId="18">
    <w:abstractNumId w:val="2"/>
  </w:num>
  <w:num w:numId="19">
    <w:abstractNumId w:val="4"/>
  </w:num>
  <w:num w:numId="20">
    <w:abstractNumId w:val="12"/>
  </w:num>
  <w:num w:numId="21">
    <w:abstractNumId w:val="32"/>
  </w:num>
  <w:num w:numId="22">
    <w:abstractNumId w:val="31"/>
  </w:num>
  <w:num w:numId="23">
    <w:abstractNumId w:val="24"/>
  </w:num>
  <w:num w:numId="24">
    <w:abstractNumId w:val="9"/>
  </w:num>
  <w:num w:numId="25">
    <w:abstractNumId w:val="18"/>
  </w:num>
  <w:num w:numId="26">
    <w:abstractNumId w:val="41"/>
  </w:num>
  <w:num w:numId="27">
    <w:abstractNumId w:val="39"/>
  </w:num>
  <w:num w:numId="28">
    <w:abstractNumId w:val="22"/>
  </w:num>
  <w:num w:numId="29">
    <w:abstractNumId w:val="6"/>
  </w:num>
  <w:num w:numId="30">
    <w:abstractNumId w:val="7"/>
  </w:num>
  <w:num w:numId="31">
    <w:abstractNumId w:val="19"/>
  </w:num>
  <w:num w:numId="32">
    <w:abstractNumId w:val="5"/>
  </w:num>
  <w:num w:numId="33">
    <w:abstractNumId w:val="16"/>
  </w:num>
  <w:num w:numId="34">
    <w:abstractNumId w:val="0"/>
  </w:num>
  <w:num w:numId="35">
    <w:abstractNumId w:val="3"/>
  </w:num>
  <w:num w:numId="36">
    <w:abstractNumId w:val="40"/>
  </w:num>
  <w:num w:numId="37">
    <w:abstractNumId w:val="30"/>
  </w:num>
  <w:num w:numId="38">
    <w:abstractNumId w:val="1"/>
  </w:num>
  <w:num w:numId="39">
    <w:abstractNumId w:val="37"/>
  </w:num>
  <w:num w:numId="40">
    <w:abstractNumId w:val="26"/>
  </w:num>
  <w:num w:numId="41">
    <w:abstractNumId w:val="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DB"/>
    <w:rsid w:val="00062053"/>
    <w:rsid w:val="000673F8"/>
    <w:rsid w:val="000A5B70"/>
    <w:rsid w:val="001235C7"/>
    <w:rsid w:val="00153453"/>
    <w:rsid w:val="001547B8"/>
    <w:rsid w:val="00172DF4"/>
    <w:rsid w:val="001742E3"/>
    <w:rsid w:val="00193EE6"/>
    <w:rsid w:val="001A5DF9"/>
    <w:rsid w:val="00223520"/>
    <w:rsid w:val="00230A86"/>
    <w:rsid w:val="00264EB8"/>
    <w:rsid w:val="00267801"/>
    <w:rsid w:val="00286A66"/>
    <w:rsid w:val="002A07F4"/>
    <w:rsid w:val="002F62D7"/>
    <w:rsid w:val="003179CB"/>
    <w:rsid w:val="00334B1F"/>
    <w:rsid w:val="003618D0"/>
    <w:rsid w:val="00365D29"/>
    <w:rsid w:val="003F5ADE"/>
    <w:rsid w:val="00403707"/>
    <w:rsid w:val="00425AC7"/>
    <w:rsid w:val="004416D9"/>
    <w:rsid w:val="00491BD3"/>
    <w:rsid w:val="00494944"/>
    <w:rsid w:val="00495520"/>
    <w:rsid w:val="004B4525"/>
    <w:rsid w:val="004C7DCA"/>
    <w:rsid w:val="00521DC3"/>
    <w:rsid w:val="00576BCF"/>
    <w:rsid w:val="00595A52"/>
    <w:rsid w:val="005F015E"/>
    <w:rsid w:val="00612F65"/>
    <w:rsid w:val="00614688"/>
    <w:rsid w:val="00623974"/>
    <w:rsid w:val="0067792F"/>
    <w:rsid w:val="0068354F"/>
    <w:rsid w:val="00685676"/>
    <w:rsid w:val="006B100D"/>
    <w:rsid w:val="006B7CAA"/>
    <w:rsid w:val="006D407C"/>
    <w:rsid w:val="007637D7"/>
    <w:rsid w:val="0081155E"/>
    <w:rsid w:val="008172B6"/>
    <w:rsid w:val="0082456F"/>
    <w:rsid w:val="0082596F"/>
    <w:rsid w:val="008350DB"/>
    <w:rsid w:val="0085258E"/>
    <w:rsid w:val="00880183"/>
    <w:rsid w:val="0089328C"/>
    <w:rsid w:val="008A4352"/>
    <w:rsid w:val="008B7F24"/>
    <w:rsid w:val="008E24E4"/>
    <w:rsid w:val="00906A30"/>
    <w:rsid w:val="00917B72"/>
    <w:rsid w:val="009361C3"/>
    <w:rsid w:val="00972C30"/>
    <w:rsid w:val="00995A7E"/>
    <w:rsid w:val="009C1C57"/>
    <w:rsid w:val="009D26AB"/>
    <w:rsid w:val="00A26585"/>
    <w:rsid w:val="00A439F2"/>
    <w:rsid w:val="00A456D0"/>
    <w:rsid w:val="00A669DD"/>
    <w:rsid w:val="00AC16A0"/>
    <w:rsid w:val="00AE574B"/>
    <w:rsid w:val="00AF0649"/>
    <w:rsid w:val="00B47A0B"/>
    <w:rsid w:val="00B50ADF"/>
    <w:rsid w:val="00B57F26"/>
    <w:rsid w:val="00B75506"/>
    <w:rsid w:val="00B97B66"/>
    <w:rsid w:val="00BD2F7E"/>
    <w:rsid w:val="00BE093E"/>
    <w:rsid w:val="00C25E19"/>
    <w:rsid w:val="00C4179B"/>
    <w:rsid w:val="00C43F3D"/>
    <w:rsid w:val="00C4468E"/>
    <w:rsid w:val="00C801B4"/>
    <w:rsid w:val="00C955B9"/>
    <w:rsid w:val="00CC7676"/>
    <w:rsid w:val="00CD3B51"/>
    <w:rsid w:val="00D074D4"/>
    <w:rsid w:val="00D145D3"/>
    <w:rsid w:val="00D8166D"/>
    <w:rsid w:val="00DA64D0"/>
    <w:rsid w:val="00DB7541"/>
    <w:rsid w:val="00DC239C"/>
    <w:rsid w:val="00DC5755"/>
    <w:rsid w:val="00DD4E58"/>
    <w:rsid w:val="00DE3D82"/>
    <w:rsid w:val="00E020A1"/>
    <w:rsid w:val="00E21806"/>
    <w:rsid w:val="00E731E8"/>
    <w:rsid w:val="00E82644"/>
    <w:rsid w:val="00E86669"/>
    <w:rsid w:val="00E96F1F"/>
    <w:rsid w:val="00EB581E"/>
    <w:rsid w:val="00EE5B4C"/>
    <w:rsid w:val="00F03AD3"/>
    <w:rsid w:val="00F30E78"/>
    <w:rsid w:val="00F457E7"/>
    <w:rsid w:val="00F525E5"/>
    <w:rsid w:val="00FE03B6"/>
    <w:rsid w:val="00FE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54E7"/>
  <w15:chartTrackingRefBased/>
  <w15:docId w15:val="{9F1A2304-F8C2-4867-8C6D-49765745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29"/>
    <w:pPr>
      <w:ind w:left="720"/>
      <w:contextualSpacing/>
    </w:pPr>
  </w:style>
  <w:style w:type="character" w:styleId="Hyperlink">
    <w:name w:val="Hyperlink"/>
    <w:basedOn w:val="DefaultParagraphFont"/>
    <w:uiPriority w:val="99"/>
    <w:unhideWhenUsed/>
    <w:rsid w:val="008E24E4"/>
    <w:rPr>
      <w:color w:val="0563C1" w:themeColor="hyperlink"/>
      <w:u w:val="single"/>
    </w:rPr>
  </w:style>
  <w:style w:type="paragraph" w:customStyle="1" w:styleId="xxmsolistparagraph">
    <w:name w:val="x_x_msolistparagraph"/>
    <w:basedOn w:val="Normal"/>
    <w:rsid w:val="00B75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34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06"/>
    <w:rPr>
      <w:rFonts w:ascii="Segoe UI" w:hAnsi="Segoe UI" w:cs="Segoe UI"/>
      <w:sz w:val="18"/>
      <w:szCs w:val="18"/>
    </w:rPr>
  </w:style>
  <w:style w:type="paragraph" w:customStyle="1" w:styleId="xxxmsonormal">
    <w:name w:val="x_x_x_msonormal"/>
    <w:basedOn w:val="Normal"/>
    <w:rsid w:val="00BE093E"/>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8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550800">
      <w:bodyDiv w:val="1"/>
      <w:marLeft w:val="0"/>
      <w:marRight w:val="0"/>
      <w:marTop w:val="0"/>
      <w:marBottom w:val="0"/>
      <w:divBdr>
        <w:top w:val="none" w:sz="0" w:space="0" w:color="auto"/>
        <w:left w:val="none" w:sz="0" w:space="0" w:color="auto"/>
        <w:bottom w:val="none" w:sz="0" w:space="0" w:color="auto"/>
        <w:right w:val="none" w:sz="0" w:space="0" w:color="auto"/>
      </w:divBdr>
    </w:div>
    <w:div w:id="650645704">
      <w:bodyDiv w:val="1"/>
      <w:marLeft w:val="0"/>
      <w:marRight w:val="0"/>
      <w:marTop w:val="0"/>
      <w:marBottom w:val="0"/>
      <w:divBdr>
        <w:top w:val="none" w:sz="0" w:space="0" w:color="auto"/>
        <w:left w:val="none" w:sz="0" w:space="0" w:color="auto"/>
        <w:bottom w:val="none" w:sz="0" w:space="0" w:color="auto"/>
        <w:right w:val="none" w:sz="0" w:space="0" w:color="auto"/>
      </w:divBdr>
      <w:divsChild>
        <w:div w:id="1074160091">
          <w:marLeft w:val="0"/>
          <w:marRight w:val="0"/>
          <w:marTop w:val="0"/>
          <w:marBottom w:val="0"/>
          <w:divBdr>
            <w:top w:val="none" w:sz="0" w:space="0" w:color="auto"/>
            <w:left w:val="none" w:sz="0" w:space="0" w:color="auto"/>
            <w:bottom w:val="none" w:sz="0" w:space="0" w:color="auto"/>
            <w:right w:val="none" w:sz="0" w:space="0" w:color="auto"/>
          </w:divBdr>
          <w:divsChild>
            <w:div w:id="338433270">
              <w:marLeft w:val="0"/>
              <w:marRight w:val="0"/>
              <w:marTop w:val="0"/>
              <w:marBottom w:val="0"/>
              <w:divBdr>
                <w:top w:val="none" w:sz="0" w:space="0" w:color="auto"/>
                <w:left w:val="none" w:sz="0" w:space="0" w:color="auto"/>
                <w:bottom w:val="none" w:sz="0" w:space="0" w:color="auto"/>
                <w:right w:val="none" w:sz="0" w:space="0" w:color="auto"/>
              </w:divBdr>
              <w:divsChild>
                <w:div w:id="1317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8227">
      <w:bodyDiv w:val="1"/>
      <w:marLeft w:val="0"/>
      <w:marRight w:val="0"/>
      <w:marTop w:val="0"/>
      <w:marBottom w:val="0"/>
      <w:divBdr>
        <w:top w:val="none" w:sz="0" w:space="0" w:color="auto"/>
        <w:left w:val="none" w:sz="0" w:space="0" w:color="auto"/>
        <w:bottom w:val="none" w:sz="0" w:space="0" w:color="auto"/>
        <w:right w:val="none" w:sz="0" w:space="0" w:color="auto"/>
      </w:divBdr>
    </w:div>
    <w:div w:id="858392367">
      <w:bodyDiv w:val="1"/>
      <w:marLeft w:val="0"/>
      <w:marRight w:val="0"/>
      <w:marTop w:val="0"/>
      <w:marBottom w:val="0"/>
      <w:divBdr>
        <w:top w:val="none" w:sz="0" w:space="0" w:color="auto"/>
        <w:left w:val="none" w:sz="0" w:space="0" w:color="auto"/>
        <w:bottom w:val="none" w:sz="0" w:space="0" w:color="auto"/>
        <w:right w:val="none" w:sz="0" w:space="0" w:color="auto"/>
      </w:divBdr>
    </w:div>
    <w:div w:id="992952282">
      <w:bodyDiv w:val="1"/>
      <w:marLeft w:val="0"/>
      <w:marRight w:val="0"/>
      <w:marTop w:val="0"/>
      <w:marBottom w:val="0"/>
      <w:divBdr>
        <w:top w:val="none" w:sz="0" w:space="0" w:color="auto"/>
        <w:left w:val="none" w:sz="0" w:space="0" w:color="auto"/>
        <w:bottom w:val="none" w:sz="0" w:space="0" w:color="auto"/>
        <w:right w:val="none" w:sz="0" w:space="0" w:color="auto"/>
      </w:divBdr>
    </w:div>
    <w:div w:id="1098450312">
      <w:bodyDiv w:val="1"/>
      <w:marLeft w:val="0"/>
      <w:marRight w:val="0"/>
      <w:marTop w:val="0"/>
      <w:marBottom w:val="0"/>
      <w:divBdr>
        <w:top w:val="none" w:sz="0" w:space="0" w:color="auto"/>
        <w:left w:val="none" w:sz="0" w:space="0" w:color="auto"/>
        <w:bottom w:val="none" w:sz="0" w:space="0" w:color="auto"/>
        <w:right w:val="none" w:sz="0" w:space="0" w:color="auto"/>
      </w:divBdr>
      <w:divsChild>
        <w:div w:id="1849057362">
          <w:marLeft w:val="0"/>
          <w:marRight w:val="0"/>
          <w:marTop w:val="0"/>
          <w:marBottom w:val="0"/>
          <w:divBdr>
            <w:top w:val="none" w:sz="0" w:space="0" w:color="auto"/>
            <w:left w:val="none" w:sz="0" w:space="0" w:color="auto"/>
            <w:bottom w:val="none" w:sz="0" w:space="0" w:color="auto"/>
            <w:right w:val="none" w:sz="0" w:space="0" w:color="auto"/>
          </w:divBdr>
          <w:divsChild>
            <w:div w:id="2107655015">
              <w:marLeft w:val="0"/>
              <w:marRight w:val="0"/>
              <w:marTop w:val="0"/>
              <w:marBottom w:val="0"/>
              <w:divBdr>
                <w:top w:val="none" w:sz="0" w:space="0" w:color="auto"/>
                <w:left w:val="none" w:sz="0" w:space="0" w:color="auto"/>
                <w:bottom w:val="none" w:sz="0" w:space="0" w:color="auto"/>
                <w:right w:val="none" w:sz="0" w:space="0" w:color="auto"/>
              </w:divBdr>
              <w:divsChild>
                <w:div w:id="1232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5832">
      <w:bodyDiv w:val="1"/>
      <w:marLeft w:val="0"/>
      <w:marRight w:val="0"/>
      <w:marTop w:val="0"/>
      <w:marBottom w:val="0"/>
      <w:divBdr>
        <w:top w:val="none" w:sz="0" w:space="0" w:color="auto"/>
        <w:left w:val="none" w:sz="0" w:space="0" w:color="auto"/>
        <w:bottom w:val="none" w:sz="0" w:space="0" w:color="auto"/>
        <w:right w:val="none" w:sz="0" w:space="0" w:color="auto"/>
      </w:divBdr>
    </w:div>
    <w:div w:id="1435518496">
      <w:bodyDiv w:val="1"/>
      <w:marLeft w:val="0"/>
      <w:marRight w:val="0"/>
      <w:marTop w:val="0"/>
      <w:marBottom w:val="0"/>
      <w:divBdr>
        <w:top w:val="none" w:sz="0" w:space="0" w:color="auto"/>
        <w:left w:val="none" w:sz="0" w:space="0" w:color="auto"/>
        <w:bottom w:val="none" w:sz="0" w:space="0" w:color="auto"/>
        <w:right w:val="none" w:sz="0" w:space="0" w:color="auto"/>
      </w:divBdr>
    </w:div>
    <w:div w:id="1467045368">
      <w:bodyDiv w:val="1"/>
      <w:marLeft w:val="0"/>
      <w:marRight w:val="0"/>
      <w:marTop w:val="0"/>
      <w:marBottom w:val="0"/>
      <w:divBdr>
        <w:top w:val="none" w:sz="0" w:space="0" w:color="auto"/>
        <w:left w:val="none" w:sz="0" w:space="0" w:color="auto"/>
        <w:bottom w:val="none" w:sz="0" w:space="0" w:color="auto"/>
        <w:right w:val="none" w:sz="0" w:space="0" w:color="auto"/>
      </w:divBdr>
    </w:div>
    <w:div w:id="1704094268">
      <w:bodyDiv w:val="1"/>
      <w:marLeft w:val="0"/>
      <w:marRight w:val="0"/>
      <w:marTop w:val="0"/>
      <w:marBottom w:val="0"/>
      <w:divBdr>
        <w:top w:val="none" w:sz="0" w:space="0" w:color="auto"/>
        <w:left w:val="none" w:sz="0" w:space="0" w:color="auto"/>
        <w:bottom w:val="none" w:sz="0" w:space="0" w:color="auto"/>
        <w:right w:val="none" w:sz="0" w:space="0" w:color="auto"/>
      </w:divBdr>
    </w:div>
    <w:div w:id="17795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ufl.edu/committees/faculty-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du0p01S_BhrcTd-MRgaBfXBdDcF8-CTl?usp=sharing" TargetMode="External"/><Relationship Id="rId5" Type="http://schemas.openxmlformats.org/officeDocument/2006/relationships/hyperlink" Target="http://aa.ufl.edu/media/aaufledu/tenure-and-promotion/TP-Guidelines-2021-2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docdi</dc:creator>
  <cp:keywords/>
  <dc:description/>
  <cp:lastModifiedBy>Mathien,Tara Dawn</cp:lastModifiedBy>
  <cp:revision>6</cp:revision>
  <cp:lastPrinted>2021-02-24T20:33:00Z</cp:lastPrinted>
  <dcterms:created xsi:type="dcterms:W3CDTF">2021-08-17T16:33:00Z</dcterms:created>
  <dcterms:modified xsi:type="dcterms:W3CDTF">2021-08-30T20:43:00Z</dcterms:modified>
</cp:coreProperties>
</file>