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D57DD" w14:textId="1B0FD27D" w:rsidR="00D63622" w:rsidRPr="002A79AC" w:rsidRDefault="00301B4C" w:rsidP="00D63622">
      <w:pPr>
        <w:jc w:val="center"/>
        <w:rPr>
          <w:rFonts w:eastAsia="Times New Roman" w:cstheme="minorHAnsi"/>
          <w:b/>
          <w:bCs/>
          <w:sz w:val="28"/>
          <w:szCs w:val="22"/>
        </w:rPr>
      </w:pPr>
      <w:bookmarkStart w:id="0" w:name="_GoBack"/>
      <w:bookmarkEnd w:id="0"/>
      <w:r w:rsidRPr="002A79AC">
        <w:rPr>
          <w:rFonts w:eastAsia="Times New Roman" w:cstheme="minorHAnsi"/>
          <w:b/>
          <w:bCs/>
          <w:sz w:val="28"/>
          <w:szCs w:val="22"/>
        </w:rPr>
        <w:t xml:space="preserve">Guidance  for Embedding a </w:t>
      </w:r>
      <w:r w:rsidR="00D63622" w:rsidRPr="002A79AC">
        <w:rPr>
          <w:rFonts w:eastAsia="Times New Roman" w:cstheme="minorHAnsi"/>
          <w:b/>
          <w:bCs/>
          <w:sz w:val="28"/>
          <w:szCs w:val="22"/>
        </w:rPr>
        <w:t>Racial and Ethnic Equity Perspective in Research</w:t>
      </w:r>
    </w:p>
    <w:p w14:paraId="55B6C3F4" w14:textId="77777777" w:rsidR="00430B85" w:rsidRPr="002A79AC" w:rsidRDefault="00430B85" w:rsidP="00313646">
      <w:pPr>
        <w:tabs>
          <w:tab w:val="center" w:pos="1350"/>
        </w:tabs>
        <w:rPr>
          <w:rFonts w:cstheme="minorHAnsi"/>
          <w:sz w:val="28"/>
          <w:szCs w:val="22"/>
        </w:rPr>
      </w:pPr>
    </w:p>
    <w:p w14:paraId="389A19A3" w14:textId="4C9A77DC" w:rsidR="0098250D" w:rsidRPr="002A79AC" w:rsidRDefault="00CA3FCD" w:rsidP="00313646">
      <w:pPr>
        <w:tabs>
          <w:tab w:val="center" w:pos="1350"/>
        </w:tabs>
        <w:rPr>
          <w:rFonts w:cstheme="minorHAnsi"/>
          <w:sz w:val="28"/>
          <w:szCs w:val="22"/>
        </w:rPr>
      </w:pPr>
      <w:r w:rsidRPr="002A79AC">
        <w:rPr>
          <w:rFonts w:cstheme="minorHAnsi"/>
          <w:sz w:val="28"/>
          <w:szCs w:val="22"/>
        </w:rPr>
        <w:t xml:space="preserve">In an effort to </w:t>
      </w:r>
      <w:r w:rsidR="0058444B" w:rsidRPr="002A79AC">
        <w:rPr>
          <w:rFonts w:cstheme="minorHAnsi"/>
          <w:sz w:val="28"/>
          <w:szCs w:val="22"/>
        </w:rPr>
        <w:t>promote consideration and incorporation of racial and ethnic equity in all research in the UF COE, we have prepared the following summary of a systematic report conducted by Child Trends in 2019</w:t>
      </w:r>
      <w:r w:rsidR="005B3770" w:rsidRPr="002A79AC">
        <w:rPr>
          <w:rFonts w:cstheme="minorHAnsi"/>
          <w:sz w:val="28"/>
          <w:szCs w:val="22"/>
        </w:rPr>
        <w:t xml:space="preserve"> (Andrews et al., 2019)</w:t>
      </w:r>
      <w:r w:rsidR="0058444B" w:rsidRPr="002A79AC">
        <w:rPr>
          <w:rFonts w:cstheme="minorHAnsi"/>
          <w:sz w:val="28"/>
          <w:szCs w:val="22"/>
        </w:rPr>
        <w:t xml:space="preserve">. This Report summarizes </w:t>
      </w:r>
      <w:r w:rsidR="0098250D" w:rsidRPr="002A79AC">
        <w:rPr>
          <w:rFonts w:cstheme="minorHAnsi"/>
          <w:sz w:val="28"/>
          <w:szCs w:val="22"/>
        </w:rPr>
        <w:t>recommendations on embedding racial and ethnic equity in research which are based on a thorough review of the literature and interviews of 34 researchers, funders, and policy makers across the nation. We encourage you to read the whole report, but offer the following brief critical summary points for your reflection and consideration</w:t>
      </w:r>
      <w:r w:rsidR="00430B85" w:rsidRPr="002A79AC">
        <w:rPr>
          <w:rFonts w:cstheme="minorHAnsi"/>
          <w:sz w:val="28"/>
          <w:szCs w:val="22"/>
        </w:rPr>
        <w:t>.</w:t>
      </w:r>
      <w:r w:rsidR="0098250D" w:rsidRPr="002A79AC">
        <w:rPr>
          <w:rFonts w:cstheme="minorHAnsi"/>
          <w:sz w:val="28"/>
          <w:szCs w:val="22"/>
        </w:rPr>
        <w:t xml:space="preserve"> </w:t>
      </w:r>
    </w:p>
    <w:p w14:paraId="0D467210" w14:textId="62928529" w:rsidR="00D63622" w:rsidRPr="002A79AC" w:rsidRDefault="00D63622" w:rsidP="00313646">
      <w:pPr>
        <w:rPr>
          <w:rFonts w:cstheme="minorHAnsi"/>
          <w:sz w:val="28"/>
          <w:szCs w:val="22"/>
        </w:rPr>
      </w:pPr>
    </w:p>
    <w:p w14:paraId="018491AE" w14:textId="69861322" w:rsidR="008C5711" w:rsidRPr="002A79AC" w:rsidRDefault="00D63622" w:rsidP="00092F39">
      <w:pPr>
        <w:pBdr>
          <w:top w:val="single" w:sz="4" w:space="1" w:color="auto"/>
          <w:left w:val="single" w:sz="4" w:space="4" w:color="auto"/>
          <w:bottom w:val="single" w:sz="4" w:space="1" w:color="auto"/>
          <w:right w:val="single" w:sz="4" w:space="4" w:color="auto"/>
        </w:pBdr>
        <w:rPr>
          <w:rFonts w:eastAsia="Times New Roman" w:cstheme="minorHAnsi"/>
          <w:sz w:val="28"/>
          <w:szCs w:val="22"/>
        </w:rPr>
      </w:pPr>
      <w:r w:rsidRPr="002A79AC">
        <w:rPr>
          <w:rFonts w:eastAsia="Times New Roman" w:cstheme="minorHAnsi"/>
          <w:b/>
          <w:bCs/>
          <w:sz w:val="28"/>
          <w:szCs w:val="22"/>
        </w:rPr>
        <w:t>What is equity?</w:t>
      </w:r>
      <w:r w:rsidRPr="002A79AC">
        <w:rPr>
          <w:rFonts w:eastAsia="Times New Roman" w:cstheme="minorHAnsi"/>
          <w:sz w:val="28"/>
          <w:szCs w:val="22"/>
        </w:rPr>
        <w:t xml:space="preserve"> Equity is just and fair inclusion. Equity is achieved by environments, systems, and policies that support equal access to opportunity</w:t>
      </w:r>
      <w:r w:rsidR="008C5711" w:rsidRPr="002A79AC">
        <w:rPr>
          <w:rFonts w:eastAsia="Times New Roman" w:cstheme="minorHAnsi"/>
          <w:sz w:val="28"/>
          <w:szCs w:val="22"/>
        </w:rPr>
        <w:t xml:space="preserve"> c</w:t>
      </w:r>
      <w:r w:rsidR="008C5711" w:rsidRPr="002A79AC">
        <w:rPr>
          <w:sz w:val="28"/>
          <w:szCs w:val="22"/>
        </w:rPr>
        <w:t>onsidering social and historical aspects that impact an individual’s life through generations.</w:t>
      </w:r>
    </w:p>
    <w:p w14:paraId="43F92FFA" w14:textId="77777777" w:rsidR="00D63622" w:rsidRPr="002A79AC" w:rsidRDefault="00D63622" w:rsidP="00092F39">
      <w:pPr>
        <w:pBdr>
          <w:top w:val="single" w:sz="4" w:space="1" w:color="auto"/>
          <w:left w:val="single" w:sz="4" w:space="4" w:color="auto"/>
          <w:bottom w:val="single" w:sz="4" w:space="1" w:color="auto"/>
          <w:right w:val="single" w:sz="4" w:space="4" w:color="auto"/>
        </w:pBdr>
        <w:rPr>
          <w:rFonts w:eastAsia="Times New Roman" w:cstheme="minorHAnsi"/>
          <w:sz w:val="28"/>
          <w:szCs w:val="22"/>
        </w:rPr>
      </w:pPr>
    </w:p>
    <w:p w14:paraId="487D2FFC" w14:textId="4980E3A1" w:rsidR="00D63622" w:rsidRPr="002A79AC" w:rsidRDefault="00D63622" w:rsidP="00092F39">
      <w:pPr>
        <w:pBdr>
          <w:top w:val="single" w:sz="4" w:space="1" w:color="auto"/>
          <w:left w:val="single" w:sz="4" w:space="4" w:color="auto"/>
          <w:bottom w:val="single" w:sz="4" w:space="1" w:color="auto"/>
          <w:right w:val="single" w:sz="4" w:space="4" w:color="auto"/>
        </w:pBdr>
        <w:rPr>
          <w:rFonts w:eastAsia="Times New Roman" w:cstheme="minorHAnsi"/>
          <w:sz w:val="28"/>
          <w:szCs w:val="22"/>
        </w:rPr>
      </w:pPr>
      <w:r w:rsidRPr="002A79AC">
        <w:rPr>
          <w:rFonts w:eastAsia="Times New Roman" w:cstheme="minorHAnsi"/>
          <w:b/>
          <w:bCs/>
          <w:sz w:val="28"/>
          <w:szCs w:val="22"/>
        </w:rPr>
        <w:t>What is racial and ethnic equity?</w:t>
      </w:r>
      <w:r w:rsidRPr="002A79AC">
        <w:rPr>
          <w:rFonts w:eastAsia="Times New Roman" w:cstheme="minorHAnsi"/>
          <w:sz w:val="28"/>
          <w:szCs w:val="22"/>
        </w:rPr>
        <w:t xml:space="preserve"> Racial and ethnic equity is both an outcome and a process. As an outcome, racial and ethnic equity is achieved when race or ethnic identity no longer predicts the course of a person’s life, and all people have what they need to thrive, no matter where they live.  As a process, racial equity is applied when those most impacted by structural racial inequity are meaningfully involved in the creation and implementation of the institutional policies and practices that impact their lives.</w:t>
      </w:r>
    </w:p>
    <w:p w14:paraId="2ABD7119" w14:textId="40A897D6" w:rsidR="00D63622" w:rsidRPr="002A79AC" w:rsidRDefault="00D63622" w:rsidP="00092F39">
      <w:pPr>
        <w:pBdr>
          <w:top w:val="single" w:sz="4" w:space="1" w:color="auto"/>
          <w:left w:val="single" w:sz="4" w:space="4" w:color="auto"/>
          <w:bottom w:val="single" w:sz="4" w:space="1" w:color="auto"/>
          <w:right w:val="single" w:sz="4" w:space="4" w:color="auto"/>
        </w:pBdr>
        <w:rPr>
          <w:rFonts w:eastAsia="Times New Roman" w:cstheme="minorHAnsi"/>
          <w:sz w:val="28"/>
          <w:szCs w:val="22"/>
        </w:rPr>
      </w:pPr>
    </w:p>
    <w:p w14:paraId="5576A039" w14:textId="35FF02DA" w:rsidR="00D63622" w:rsidRPr="002A79AC" w:rsidRDefault="00D63622" w:rsidP="00092F39">
      <w:pPr>
        <w:pBdr>
          <w:top w:val="single" w:sz="4" w:space="1" w:color="auto"/>
          <w:left w:val="single" w:sz="4" w:space="4" w:color="auto"/>
          <w:bottom w:val="single" w:sz="4" w:space="1" w:color="auto"/>
          <w:right w:val="single" w:sz="4" w:space="4" w:color="auto"/>
        </w:pBdr>
        <w:rPr>
          <w:rFonts w:eastAsia="Times New Roman" w:cstheme="minorHAnsi"/>
          <w:sz w:val="28"/>
          <w:szCs w:val="22"/>
        </w:rPr>
      </w:pPr>
      <w:r w:rsidRPr="002A79AC">
        <w:rPr>
          <w:rFonts w:eastAsia="Times New Roman" w:cstheme="minorHAnsi"/>
          <w:b/>
          <w:bCs/>
          <w:sz w:val="28"/>
          <w:szCs w:val="22"/>
        </w:rPr>
        <w:t>What is racial and ethnic equity in research?</w:t>
      </w:r>
      <w:r w:rsidRPr="002A79AC">
        <w:rPr>
          <w:rFonts w:eastAsia="Times New Roman" w:cstheme="minorHAnsi"/>
          <w:sz w:val="28"/>
          <w:szCs w:val="22"/>
        </w:rPr>
        <w:t xml:space="preserve"> Racial and ethnic equity in research means applying tools and practices needed to recognize </w:t>
      </w:r>
      <w:r w:rsidR="00430B85" w:rsidRPr="002A79AC">
        <w:rPr>
          <w:rFonts w:eastAsia="Times New Roman" w:cstheme="minorHAnsi"/>
          <w:sz w:val="28"/>
          <w:szCs w:val="22"/>
        </w:rPr>
        <w:t xml:space="preserve">experiences </w:t>
      </w:r>
      <w:r w:rsidRPr="002A79AC">
        <w:rPr>
          <w:rFonts w:eastAsia="Times New Roman" w:cstheme="minorHAnsi"/>
          <w:sz w:val="28"/>
          <w:szCs w:val="22"/>
        </w:rPr>
        <w:t>with unequal power differentials and access to resources and opportunity, while considering historical and current lived realities, including structural racism.</w:t>
      </w:r>
      <w:r w:rsidR="00E11F44" w:rsidRPr="002A79AC">
        <w:rPr>
          <w:rFonts w:eastAsia="Times New Roman" w:cstheme="minorHAnsi"/>
          <w:sz w:val="28"/>
          <w:szCs w:val="22"/>
        </w:rPr>
        <w:t xml:space="preserve"> </w:t>
      </w:r>
      <w:r w:rsidR="008C5711" w:rsidRPr="002A79AC">
        <w:rPr>
          <w:sz w:val="28"/>
          <w:szCs w:val="22"/>
        </w:rPr>
        <w:t xml:space="preserve">Additionally, equitable research should value the academic research of scholars and authors of color and their perspectives as members of </w:t>
      </w:r>
      <w:r w:rsidR="004B5642" w:rsidRPr="002A79AC">
        <w:rPr>
          <w:sz w:val="28"/>
          <w:szCs w:val="22"/>
        </w:rPr>
        <w:t xml:space="preserve">historically underrepresented </w:t>
      </w:r>
      <w:r w:rsidR="008C5711" w:rsidRPr="002A79AC">
        <w:rPr>
          <w:sz w:val="28"/>
          <w:szCs w:val="22"/>
        </w:rPr>
        <w:t>populations.</w:t>
      </w:r>
    </w:p>
    <w:p w14:paraId="6A3685E3" w14:textId="48BB37B2" w:rsidR="00D63622" w:rsidRPr="002A79AC" w:rsidRDefault="00D63622" w:rsidP="00D63622">
      <w:pPr>
        <w:rPr>
          <w:rFonts w:eastAsia="Times New Roman" w:cstheme="minorHAnsi"/>
          <w:sz w:val="28"/>
          <w:szCs w:val="22"/>
        </w:rPr>
      </w:pPr>
    </w:p>
    <w:p w14:paraId="36A053A0" w14:textId="79272C08" w:rsidR="00D63622" w:rsidRPr="002A79AC" w:rsidRDefault="00D63622" w:rsidP="00092F39">
      <w:pPr>
        <w:pBdr>
          <w:top w:val="single" w:sz="4" w:space="1" w:color="auto"/>
          <w:left w:val="single" w:sz="4" w:space="4" w:color="auto"/>
          <w:bottom w:val="single" w:sz="4" w:space="1" w:color="auto"/>
          <w:right w:val="single" w:sz="4" w:space="4" w:color="auto"/>
        </w:pBdr>
        <w:rPr>
          <w:rFonts w:eastAsia="Times New Roman" w:cstheme="minorHAnsi"/>
          <w:sz w:val="28"/>
          <w:szCs w:val="22"/>
        </w:rPr>
      </w:pPr>
      <w:r w:rsidRPr="002A79AC">
        <w:rPr>
          <w:rFonts w:eastAsia="Times New Roman" w:cstheme="minorHAnsi"/>
          <w:b/>
          <w:bCs/>
          <w:sz w:val="28"/>
          <w:szCs w:val="22"/>
        </w:rPr>
        <w:t>What is the role of the researcher in advancing racial and ethnic equity?</w:t>
      </w:r>
      <w:r w:rsidRPr="002A79AC">
        <w:rPr>
          <w:rFonts w:eastAsia="Times New Roman" w:cstheme="minorHAnsi"/>
          <w:sz w:val="28"/>
          <w:szCs w:val="22"/>
        </w:rPr>
        <w:t xml:space="preserve"> </w:t>
      </w:r>
    </w:p>
    <w:p w14:paraId="6ED139AC" w14:textId="77777777" w:rsidR="00092F39" w:rsidRPr="002A79AC" w:rsidRDefault="00092F39" w:rsidP="00092F39">
      <w:pPr>
        <w:pBdr>
          <w:top w:val="single" w:sz="4" w:space="1" w:color="auto"/>
          <w:left w:val="single" w:sz="4" w:space="4" w:color="auto"/>
          <w:bottom w:val="single" w:sz="4" w:space="1" w:color="auto"/>
          <w:right w:val="single" w:sz="4" w:space="4" w:color="auto"/>
        </w:pBdr>
        <w:rPr>
          <w:rFonts w:eastAsia="Times New Roman" w:cstheme="minorHAnsi"/>
          <w:sz w:val="28"/>
          <w:szCs w:val="22"/>
        </w:rPr>
      </w:pPr>
    </w:p>
    <w:p w14:paraId="42B76168" w14:textId="623013AE" w:rsidR="0046505A" w:rsidRPr="002A79AC" w:rsidRDefault="00D63622" w:rsidP="00092F39">
      <w:pPr>
        <w:pBdr>
          <w:top w:val="single" w:sz="4" w:space="1" w:color="auto"/>
          <w:left w:val="single" w:sz="4" w:space="4" w:color="auto"/>
          <w:bottom w:val="single" w:sz="4" w:space="1" w:color="auto"/>
          <w:right w:val="single" w:sz="4" w:space="4" w:color="auto"/>
        </w:pBdr>
        <w:rPr>
          <w:rFonts w:eastAsia="Times New Roman" w:cstheme="minorHAnsi"/>
          <w:sz w:val="28"/>
          <w:szCs w:val="22"/>
        </w:rPr>
      </w:pPr>
      <w:r w:rsidRPr="002A79AC">
        <w:rPr>
          <w:rFonts w:eastAsia="Times New Roman" w:cstheme="minorHAnsi"/>
          <w:sz w:val="28"/>
          <w:szCs w:val="22"/>
        </w:rPr>
        <w:t>Researchers can contribute to racial and ethnic equity</w:t>
      </w:r>
      <w:r w:rsidR="0046505A" w:rsidRPr="002A79AC">
        <w:rPr>
          <w:rFonts w:eastAsia="Times New Roman" w:cstheme="minorHAnsi"/>
          <w:sz w:val="28"/>
          <w:szCs w:val="22"/>
        </w:rPr>
        <w:t xml:space="preserve"> in the following ways</w:t>
      </w:r>
      <w:r w:rsidRPr="002A79AC">
        <w:rPr>
          <w:rFonts w:eastAsia="Times New Roman" w:cstheme="minorHAnsi"/>
          <w:sz w:val="28"/>
          <w:szCs w:val="22"/>
        </w:rPr>
        <w:t>:</w:t>
      </w:r>
    </w:p>
    <w:p w14:paraId="696FF158" w14:textId="77777777" w:rsidR="00092F39" w:rsidRPr="002A79AC" w:rsidRDefault="00092F39" w:rsidP="00092F39">
      <w:pPr>
        <w:pBdr>
          <w:top w:val="single" w:sz="4" w:space="1" w:color="auto"/>
          <w:left w:val="single" w:sz="4" w:space="4" w:color="auto"/>
          <w:bottom w:val="single" w:sz="4" w:space="1" w:color="auto"/>
          <w:right w:val="single" w:sz="4" w:space="4" w:color="auto"/>
        </w:pBdr>
        <w:rPr>
          <w:rFonts w:eastAsia="Times New Roman" w:cstheme="minorHAnsi"/>
          <w:sz w:val="28"/>
          <w:szCs w:val="22"/>
        </w:rPr>
      </w:pPr>
    </w:p>
    <w:p w14:paraId="34C75FB6" w14:textId="4E3243FD" w:rsidR="0046505A" w:rsidRPr="002A79AC" w:rsidRDefault="00D63622" w:rsidP="00092F39">
      <w:pPr>
        <w:pStyle w:val="ListParagraph"/>
        <w:numPr>
          <w:ilvl w:val="0"/>
          <w:numId w:val="13"/>
        </w:numPr>
        <w:pBdr>
          <w:top w:val="single" w:sz="4" w:space="1" w:color="auto"/>
          <w:left w:val="single" w:sz="4" w:space="4" w:color="auto"/>
          <w:bottom w:val="single" w:sz="4" w:space="1" w:color="auto"/>
          <w:right w:val="single" w:sz="4" w:space="4" w:color="auto"/>
        </w:pBdr>
        <w:ind w:left="360"/>
        <w:rPr>
          <w:rFonts w:eastAsia="Times New Roman" w:cstheme="minorHAnsi"/>
          <w:sz w:val="28"/>
          <w:szCs w:val="22"/>
        </w:rPr>
      </w:pPr>
      <w:r w:rsidRPr="002A79AC">
        <w:rPr>
          <w:rFonts w:eastAsia="Times New Roman" w:cstheme="minorHAnsi"/>
          <w:sz w:val="28"/>
          <w:szCs w:val="22"/>
        </w:rPr>
        <w:t>Identify the underlying factors that contribute to the existence and maintenance of disparities.</w:t>
      </w:r>
    </w:p>
    <w:p w14:paraId="3EE66DF4" w14:textId="77777777" w:rsidR="0046505A" w:rsidRPr="002A79AC" w:rsidRDefault="00D63622" w:rsidP="00092F39">
      <w:pPr>
        <w:pStyle w:val="ListParagraph"/>
        <w:numPr>
          <w:ilvl w:val="0"/>
          <w:numId w:val="13"/>
        </w:numPr>
        <w:pBdr>
          <w:top w:val="single" w:sz="4" w:space="1" w:color="auto"/>
          <w:left w:val="single" w:sz="4" w:space="4" w:color="auto"/>
          <w:bottom w:val="single" w:sz="4" w:space="1" w:color="auto"/>
          <w:right w:val="single" w:sz="4" w:space="4" w:color="auto"/>
        </w:pBdr>
        <w:ind w:left="360"/>
        <w:rPr>
          <w:rFonts w:eastAsia="Times New Roman" w:cstheme="minorHAnsi"/>
          <w:sz w:val="28"/>
          <w:szCs w:val="22"/>
        </w:rPr>
      </w:pPr>
      <w:r w:rsidRPr="002A79AC">
        <w:rPr>
          <w:rFonts w:eastAsia="Times New Roman" w:cstheme="minorHAnsi"/>
          <w:sz w:val="28"/>
          <w:szCs w:val="22"/>
        </w:rPr>
        <w:t xml:space="preserve">Serve as a bridge between communities of color and those who make decisions, such as policymakers. </w:t>
      </w:r>
    </w:p>
    <w:p w14:paraId="45A78074" w14:textId="77777777" w:rsidR="0046505A" w:rsidRPr="002A79AC" w:rsidRDefault="00D63622" w:rsidP="00092F39">
      <w:pPr>
        <w:pStyle w:val="ListParagraph"/>
        <w:numPr>
          <w:ilvl w:val="0"/>
          <w:numId w:val="13"/>
        </w:numPr>
        <w:pBdr>
          <w:top w:val="single" w:sz="4" w:space="1" w:color="auto"/>
          <w:left w:val="single" w:sz="4" w:space="4" w:color="auto"/>
          <w:bottom w:val="single" w:sz="4" w:space="1" w:color="auto"/>
          <w:right w:val="single" w:sz="4" w:space="4" w:color="auto"/>
        </w:pBdr>
        <w:ind w:left="360"/>
        <w:rPr>
          <w:rFonts w:eastAsia="Times New Roman" w:cstheme="minorHAnsi"/>
          <w:sz w:val="28"/>
          <w:szCs w:val="22"/>
        </w:rPr>
      </w:pPr>
      <w:r w:rsidRPr="002A79AC">
        <w:rPr>
          <w:rFonts w:eastAsia="Times New Roman" w:cstheme="minorHAnsi"/>
          <w:sz w:val="28"/>
          <w:szCs w:val="22"/>
        </w:rPr>
        <w:lastRenderedPageBreak/>
        <w:t xml:space="preserve">Help build better data systems - ensure that data related to race and ethnicity and indicators of diversity within racial and ethnic groups (e.g., country of origin, immigration status) are collected and entered consistently and accurately by programs. </w:t>
      </w:r>
    </w:p>
    <w:p w14:paraId="03EA97D2" w14:textId="170C4E1B" w:rsidR="00D63622" w:rsidRPr="002A79AC" w:rsidRDefault="00D63622" w:rsidP="00092F39">
      <w:pPr>
        <w:pStyle w:val="ListParagraph"/>
        <w:numPr>
          <w:ilvl w:val="0"/>
          <w:numId w:val="13"/>
        </w:numPr>
        <w:pBdr>
          <w:top w:val="single" w:sz="4" w:space="1" w:color="auto"/>
          <w:left w:val="single" w:sz="4" w:space="4" w:color="auto"/>
          <w:bottom w:val="single" w:sz="4" w:space="1" w:color="auto"/>
          <w:right w:val="single" w:sz="4" w:space="4" w:color="auto"/>
        </w:pBdr>
        <w:ind w:left="360"/>
        <w:rPr>
          <w:rFonts w:eastAsia="Times New Roman" w:cstheme="minorHAnsi"/>
          <w:sz w:val="28"/>
          <w:szCs w:val="22"/>
        </w:rPr>
      </w:pPr>
      <w:r w:rsidRPr="002A79AC">
        <w:rPr>
          <w:rFonts w:eastAsia="Times New Roman" w:cstheme="minorHAnsi"/>
          <w:sz w:val="28"/>
          <w:szCs w:val="22"/>
        </w:rPr>
        <w:t>Advocate within their institutions to make changes at a system level. Child and youth researchers must incorporate a racial and ethnic equity perspective across the entire research process—in study design, data collection and analysis, and interpretation and dissemination of data findings.</w:t>
      </w:r>
    </w:p>
    <w:p w14:paraId="4E1D1330" w14:textId="5E78C908" w:rsidR="00E11F44" w:rsidRPr="002A79AC" w:rsidRDefault="008C5711" w:rsidP="00092F39">
      <w:pPr>
        <w:pStyle w:val="ListParagraph"/>
        <w:numPr>
          <w:ilvl w:val="0"/>
          <w:numId w:val="13"/>
        </w:numPr>
        <w:pBdr>
          <w:top w:val="single" w:sz="4" w:space="1" w:color="auto"/>
          <w:left w:val="single" w:sz="4" w:space="4" w:color="auto"/>
          <w:bottom w:val="single" w:sz="4" w:space="1" w:color="auto"/>
          <w:right w:val="single" w:sz="4" w:space="4" w:color="auto"/>
        </w:pBdr>
        <w:ind w:left="360"/>
        <w:rPr>
          <w:rFonts w:eastAsia="Times New Roman" w:cstheme="minorHAnsi"/>
          <w:sz w:val="28"/>
          <w:szCs w:val="22"/>
        </w:rPr>
      </w:pPr>
      <w:r w:rsidRPr="002A79AC">
        <w:rPr>
          <w:sz w:val="28"/>
          <w:szCs w:val="22"/>
        </w:rPr>
        <w:t>Recognize and include the research of Black scholars</w:t>
      </w:r>
      <w:r w:rsidR="006A5467">
        <w:rPr>
          <w:sz w:val="28"/>
          <w:szCs w:val="22"/>
        </w:rPr>
        <w:t xml:space="preserve"> and scholars from other underrepresented groups</w:t>
      </w:r>
      <w:r w:rsidRPr="002A79AC">
        <w:rPr>
          <w:sz w:val="28"/>
          <w:szCs w:val="22"/>
        </w:rPr>
        <w:t>.</w:t>
      </w:r>
    </w:p>
    <w:p w14:paraId="31FAD60B" w14:textId="77777777" w:rsidR="00890B5A" w:rsidRPr="002A79AC" w:rsidRDefault="00890B5A" w:rsidP="00D63622">
      <w:pPr>
        <w:rPr>
          <w:rFonts w:eastAsia="Times New Roman" w:cs="Arial"/>
          <w:b/>
          <w:bCs/>
          <w:sz w:val="28"/>
          <w:szCs w:val="22"/>
        </w:rPr>
      </w:pPr>
    </w:p>
    <w:p w14:paraId="177B3513" w14:textId="520BB028" w:rsidR="00D63622" w:rsidRPr="002A79AC" w:rsidRDefault="00D63622" w:rsidP="002A79AC">
      <w:pPr>
        <w:pBdr>
          <w:top w:val="single" w:sz="4" w:space="1" w:color="auto"/>
          <w:left w:val="single" w:sz="4" w:space="4" w:color="auto"/>
          <w:bottom w:val="single" w:sz="4" w:space="1" w:color="auto"/>
          <w:right w:val="single" w:sz="4" w:space="4" w:color="auto"/>
        </w:pBdr>
        <w:rPr>
          <w:rFonts w:eastAsia="Times New Roman" w:cs="Arial"/>
          <w:b/>
          <w:bCs/>
          <w:sz w:val="28"/>
          <w:szCs w:val="22"/>
        </w:rPr>
      </w:pPr>
      <w:r w:rsidRPr="002A79AC">
        <w:rPr>
          <w:rFonts w:eastAsia="Times New Roman" w:cs="Arial"/>
          <w:b/>
          <w:bCs/>
          <w:sz w:val="28"/>
          <w:szCs w:val="22"/>
        </w:rPr>
        <w:t xml:space="preserve">Below is a summary of </w:t>
      </w:r>
      <w:r w:rsidR="00CC76DA" w:rsidRPr="002A79AC">
        <w:rPr>
          <w:rFonts w:eastAsia="Times New Roman" w:cs="Arial"/>
          <w:b/>
          <w:bCs/>
          <w:sz w:val="28"/>
          <w:szCs w:val="22"/>
        </w:rPr>
        <w:t xml:space="preserve">key </w:t>
      </w:r>
      <w:r w:rsidRPr="002A79AC">
        <w:rPr>
          <w:rFonts w:eastAsia="Times New Roman" w:cs="Arial"/>
          <w:b/>
          <w:bCs/>
          <w:sz w:val="28"/>
          <w:szCs w:val="22"/>
        </w:rPr>
        <w:t xml:space="preserve">practices researchers </w:t>
      </w:r>
      <w:r w:rsidR="00145217" w:rsidRPr="002A79AC">
        <w:rPr>
          <w:rFonts w:eastAsia="Times New Roman" w:cs="Arial"/>
          <w:b/>
          <w:bCs/>
          <w:sz w:val="28"/>
          <w:szCs w:val="22"/>
        </w:rPr>
        <w:t xml:space="preserve">can </w:t>
      </w:r>
      <w:r w:rsidRPr="002A79AC">
        <w:rPr>
          <w:rFonts w:eastAsia="Times New Roman" w:cs="Arial"/>
          <w:b/>
          <w:bCs/>
          <w:sz w:val="28"/>
          <w:szCs w:val="22"/>
        </w:rPr>
        <w:t xml:space="preserve">embed in each stage of the research process: </w:t>
      </w:r>
    </w:p>
    <w:p w14:paraId="2571C7D9" w14:textId="77777777" w:rsidR="00092F39" w:rsidRPr="002A79AC" w:rsidRDefault="00092F39" w:rsidP="002A79AC">
      <w:pPr>
        <w:pBdr>
          <w:top w:val="single" w:sz="4" w:space="1" w:color="auto"/>
          <w:left w:val="single" w:sz="4" w:space="4" w:color="auto"/>
          <w:bottom w:val="single" w:sz="4" w:space="1" w:color="auto"/>
          <w:right w:val="single" w:sz="4" w:space="4" w:color="auto"/>
        </w:pBdr>
        <w:rPr>
          <w:rFonts w:eastAsia="Times New Roman" w:cs="Arial"/>
          <w:b/>
          <w:bCs/>
          <w:sz w:val="28"/>
          <w:szCs w:val="22"/>
        </w:rPr>
      </w:pPr>
    </w:p>
    <w:p w14:paraId="5B3E5730" w14:textId="5144D071" w:rsidR="00D63622" w:rsidRPr="002A79AC" w:rsidRDefault="00D63622" w:rsidP="002A79AC">
      <w:pPr>
        <w:pStyle w:val="ListParagraph"/>
        <w:numPr>
          <w:ilvl w:val="0"/>
          <w:numId w:val="11"/>
        </w:numPr>
        <w:pBdr>
          <w:top w:val="single" w:sz="4" w:space="1" w:color="auto"/>
          <w:left w:val="single" w:sz="4" w:space="4" w:color="auto"/>
          <w:bottom w:val="single" w:sz="4" w:space="1" w:color="auto"/>
          <w:right w:val="single" w:sz="4" w:space="4" w:color="auto"/>
        </w:pBdr>
        <w:ind w:left="360"/>
        <w:rPr>
          <w:rFonts w:eastAsia="Times New Roman" w:cs="Arial"/>
          <w:sz w:val="28"/>
          <w:szCs w:val="22"/>
        </w:rPr>
      </w:pPr>
      <w:r w:rsidRPr="002A79AC">
        <w:rPr>
          <w:rFonts w:eastAsia="Times New Roman" w:cs="Arial"/>
          <w:b/>
          <w:bCs/>
          <w:sz w:val="28"/>
          <w:szCs w:val="22"/>
        </w:rPr>
        <w:t>Landscape Assessment:</w:t>
      </w:r>
      <w:r w:rsidRPr="002A79AC">
        <w:rPr>
          <w:rFonts w:eastAsia="Times New Roman" w:cs="Arial"/>
          <w:sz w:val="28"/>
          <w:szCs w:val="22"/>
        </w:rPr>
        <w:t xml:space="preserve"> Before the study begins, the researcher should gain a better understanding of the context in which the research will be conducted by engaging stakeholders to gather their perspectives on the issue or concern of interest. </w:t>
      </w:r>
      <w:r w:rsidR="00336ED0" w:rsidRPr="002A79AC">
        <w:rPr>
          <w:rFonts w:eastAsia="Times New Roman" w:cs="Arial"/>
          <w:sz w:val="28"/>
          <w:szCs w:val="22"/>
        </w:rPr>
        <w:t xml:space="preserve">This may </w:t>
      </w:r>
      <w:r w:rsidRPr="002A79AC">
        <w:rPr>
          <w:rFonts w:eastAsia="Times New Roman" w:cs="Arial"/>
          <w:sz w:val="28"/>
          <w:szCs w:val="22"/>
        </w:rPr>
        <w:t>shape the research process</w:t>
      </w:r>
      <w:r w:rsidR="00890B5A" w:rsidRPr="002A79AC">
        <w:rPr>
          <w:rFonts w:eastAsia="Times New Roman" w:cs="Arial"/>
          <w:sz w:val="28"/>
          <w:szCs w:val="22"/>
        </w:rPr>
        <w:t xml:space="preserve">, </w:t>
      </w:r>
      <w:r w:rsidRPr="002A79AC">
        <w:rPr>
          <w:rFonts w:eastAsia="Times New Roman" w:cs="Arial"/>
          <w:sz w:val="28"/>
          <w:szCs w:val="22"/>
        </w:rPr>
        <w:t>uncover root causes of the issue</w:t>
      </w:r>
      <w:r w:rsidR="00890B5A" w:rsidRPr="002A79AC">
        <w:rPr>
          <w:rFonts w:eastAsia="Times New Roman" w:cs="Arial"/>
          <w:sz w:val="28"/>
          <w:szCs w:val="22"/>
        </w:rPr>
        <w:t>, and</w:t>
      </w:r>
      <w:r w:rsidR="00A63952" w:rsidRPr="002A79AC">
        <w:rPr>
          <w:rFonts w:eastAsia="Times New Roman" w:cs="Arial"/>
          <w:sz w:val="28"/>
          <w:szCs w:val="22"/>
        </w:rPr>
        <w:t xml:space="preserve"> assist in determining community assets</w:t>
      </w:r>
      <w:r w:rsidR="00890B5A" w:rsidRPr="002A79AC">
        <w:rPr>
          <w:sz w:val="28"/>
          <w:szCs w:val="22"/>
        </w:rPr>
        <w:t xml:space="preserve"> and</w:t>
      </w:r>
      <w:r w:rsidR="00336ED0" w:rsidRPr="002A79AC">
        <w:rPr>
          <w:sz w:val="28"/>
          <w:szCs w:val="22"/>
        </w:rPr>
        <w:t xml:space="preserve"> </w:t>
      </w:r>
      <w:r w:rsidR="000443A0" w:rsidRPr="002A79AC">
        <w:rPr>
          <w:rFonts w:eastAsia="Times New Roman" w:cs="Arial"/>
          <w:sz w:val="28"/>
          <w:szCs w:val="22"/>
        </w:rPr>
        <w:t>building trust</w:t>
      </w:r>
      <w:r w:rsidR="00890B5A" w:rsidRPr="002A79AC">
        <w:rPr>
          <w:rFonts w:eastAsia="Times New Roman" w:cs="Arial"/>
          <w:sz w:val="28"/>
          <w:szCs w:val="22"/>
        </w:rPr>
        <w:t>.</w:t>
      </w:r>
    </w:p>
    <w:p w14:paraId="0EA0E01D" w14:textId="2BED6A2E" w:rsidR="00D63622" w:rsidRPr="002A79AC" w:rsidRDefault="00D63622" w:rsidP="002A79AC">
      <w:pPr>
        <w:pBdr>
          <w:top w:val="single" w:sz="4" w:space="1" w:color="auto"/>
          <w:left w:val="single" w:sz="4" w:space="4" w:color="auto"/>
          <w:bottom w:val="single" w:sz="4" w:space="1" w:color="auto"/>
          <w:right w:val="single" w:sz="4" w:space="4" w:color="auto"/>
        </w:pBdr>
        <w:rPr>
          <w:sz w:val="32"/>
        </w:rPr>
      </w:pPr>
    </w:p>
    <w:p w14:paraId="6D807DC4" w14:textId="0E79637C" w:rsidR="00D63622" w:rsidRPr="002A79AC" w:rsidRDefault="00D63622" w:rsidP="002A79AC">
      <w:pPr>
        <w:pBdr>
          <w:top w:val="single" w:sz="4" w:space="1" w:color="auto"/>
          <w:left w:val="single" w:sz="4" w:space="4" w:color="auto"/>
          <w:bottom w:val="single" w:sz="4" w:space="1" w:color="auto"/>
          <w:right w:val="single" w:sz="4" w:space="4" w:color="auto"/>
        </w:pBdr>
        <w:tabs>
          <w:tab w:val="left" w:pos="180"/>
        </w:tabs>
        <w:ind w:left="360" w:hanging="360"/>
        <w:rPr>
          <w:rFonts w:eastAsia="Times New Roman" w:cs="Arial"/>
          <w:sz w:val="28"/>
          <w:szCs w:val="22"/>
        </w:rPr>
      </w:pPr>
      <w:r w:rsidRPr="002A79AC">
        <w:rPr>
          <w:rFonts w:eastAsia="Times New Roman" w:cs="Arial"/>
          <w:b/>
          <w:bCs/>
          <w:sz w:val="28"/>
          <w:szCs w:val="22"/>
        </w:rPr>
        <w:t xml:space="preserve">2. </w:t>
      </w:r>
      <w:r w:rsidR="000443A0" w:rsidRPr="002A79AC">
        <w:rPr>
          <w:rFonts w:eastAsia="Times New Roman" w:cs="Arial"/>
          <w:b/>
          <w:bCs/>
          <w:sz w:val="28"/>
          <w:szCs w:val="22"/>
        </w:rPr>
        <w:t xml:space="preserve"> </w:t>
      </w:r>
      <w:r w:rsidRPr="002A79AC">
        <w:rPr>
          <w:rFonts w:eastAsia="Times New Roman" w:cs="Arial"/>
          <w:b/>
          <w:bCs/>
          <w:sz w:val="28"/>
          <w:szCs w:val="22"/>
        </w:rPr>
        <w:t>Design and Data Collection:</w:t>
      </w:r>
      <w:r w:rsidRPr="002A79AC">
        <w:rPr>
          <w:rFonts w:eastAsia="Times New Roman" w:cs="Arial"/>
          <w:sz w:val="28"/>
          <w:szCs w:val="22"/>
        </w:rPr>
        <w:t xml:space="preserve"> The researcher should develop research questions and designs that aim to advance racial and ethnic equity. </w:t>
      </w:r>
    </w:p>
    <w:p w14:paraId="31AE59A8" w14:textId="4C232CD2" w:rsidR="00D63622" w:rsidRPr="002A79AC" w:rsidRDefault="00D63622" w:rsidP="002A79AC">
      <w:pPr>
        <w:pBdr>
          <w:top w:val="single" w:sz="4" w:space="1" w:color="auto"/>
          <w:left w:val="single" w:sz="4" w:space="4" w:color="auto"/>
          <w:bottom w:val="single" w:sz="4" w:space="1" w:color="auto"/>
          <w:right w:val="single" w:sz="4" w:space="4" w:color="auto"/>
        </w:pBdr>
        <w:rPr>
          <w:rFonts w:eastAsia="Times New Roman" w:cs="Arial"/>
          <w:sz w:val="28"/>
          <w:szCs w:val="22"/>
        </w:rPr>
      </w:pPr>
    </w:p>
    <w:p w14:paraId="377E6FD8" w14:textId="76643E3B" w:rsidR="00D63622" w:rsidRPr="002A79AC" w:rsidRDefault="00D63622" w:rsidP="002A79AC">
      <w:pPr>
        <w:pBdr>
          <w:top w:val="single" w:sz="4" w:space="1" w:color="auto"/>
          <w:left w:val="single" w:sz="4" w:space="4" w:color="auto"/>
          <w:bottom w:val="single" w:sz="4" w:space="1" w:color="auto"/>
          <w:right w:val="single" w:sz="4" w:space="4" w:color="auto"/>
        </w:pBdr>
        <w:ind w:left="270" w:hanging="270"/>
        <w:rPr>
          <w:rFonts w:eastAsia="Times New Roman" w:cs="Arial"/>
          <w:sz w:val="28"/>
          <w:szCs w:val="22"/>
        </w:rPr>
      </w:pPr>
      <w:r w:rsidRPr="002A79AC">
        <w:rPr>
          <w:rFonts w:eastAsia="Times New Roman" w:cs="Arial"/>
          <w:b/>
          <w:bCs/>
          <w:sz w:val="28"/>
          <w:szCs w:val="22"/>
        </w:rPr>
        <w:t>3. Data Analysis:</w:t>
      </w:r>
      <w:r w:rsidRPr="002A79AC">
        <w:rPr>
          <w:rFonts w:eastAsia="Times New Roman" w:cs="Arial"/>
          <w:sz w:val="28"/>
          <w:szCs w:val="22"/>
        </w:rPr>
        <w:t xml:space="preserve"> In both qualitative and quantitative analysis, the researcher should disaggregate data, explore intersectionality, discuss data trends with appropriate context, beware of implicit bias, and involve the community, where possible, in data interpretation.</w:t>
      </w:r>
    </w:p>
    <w:p w14:paraId="6C9B0108" w14:textId="03FD88B1" w:rsidR="00D63622" w:rsidRPr="002A79AC" w:rsidRDefault="00D63622" w:rsidP="002A79AC">
      <w:pPr>
        <w:pBdr>
          <w:top w:val="single" w:sz="4" w:space="1" w:color="auto"/>
          <w:left w:val="single" w:sz="4" w:space="4" w:color="auto"/>
          <w:bottom w:val="single" w:sz="4" w:space="1" w:color="auto"/>
          <w:right w:val="single" w:sz="4" w:space="4" w:color="auto"/>
        </w:pBdr>
        <w:rPr>
          <w:rFonts w:eastAsia="Times New Roman" w:cs="Arial"/>
          <w:sz w:val="28"/>
          <w:szCs w:val="22"/>
        </w:rPr>
      </w:pPr>
    </w:p>
    <w:p w14:paraId="12BFB68C" w14:textId="11A77A0D" w:rsidR="00D63622" w:rsidRPr="002A79AC" w:rsidRDefault="00D63622" w:rsidP="002A79AC">
      <w:pPr>
        <w:pBdr>
          <w:top w:val="single" w:sz="4" w:space="1" w:color="auto"/>
          <w:left w:val="single" w:sz="4" w:space="4" w:color="auto"/>
          <w:bottom w:val="single" w:sz="4" w:space="1" w:color="auto"/>
          <w:right w:val="single" w:sz="4" w:space="4" w:color="auto"/>
        </w:pBdr>
        <w:ind w:left="270" w:hanging="270"/>
        <w:rPr>
          <w:rFonts w:eastAsia="Times New Roman" w:cs="Arial"/>
          <w:sz w:val="28"/>
          <w:szCs w:val="22"/>
        </w:rPr>
      </w:pPr>
      <w:r w:rsidRPr="002A79AC">
        <w:rPr>
          <w:rFonts w:eastAsia="Times New Roman" w:cs="Arial"/>
          <w:sz w:val="28"/>
          <w:szCs w:val="22"/>
        </w:rPr>
        <w:t>4</w:t>
      </w:r>
      <w:r w:rsidRPr="002A79AC">
        <w:rPr>
          <w:rFonts w:eastAsia="Times New Roman" w:cs="Arial"/>
          <w:b/>
          <w:bCs/>
          <w:sz w:val="28"/>
          <w:szCs w:val="22"/>
        </w:rPr>
        <w:t>. Dissemination:</w:t>
      </w:r>
      <w:r w:rsidRPr="002A79AC">
        <w:rPr>
          <w:rFonts w:eastAsia="Times New Roman" w:cs="Arial"/>
          <w:sz w:val="28"/>
          <w:szCs w:val="22"/>
        </w:rPr>
        <w:t xml:space="preserve"> The researcher should include the community as one of the multiple primary audiences of research findings, consider various formats for reporting findings, and prioritize actionable research findings that the community can use. </w:t>
      </w:r>
    </w:p>
    <w:p w14:paraId="6044EF35" w14:textId="0D9C6943" w:rsidR="008369FD" w:rsidRDefault="008369FD" w:rsidP="00430B85">
      <w:pPr>
        <w:pStyle w:val="NormalWeb"/>
        <w:ind w:left="567" w:hanging="567"/>
        <w:rPr>
          <w:rFonts w:asciiTheme="minorHAnsi" w:hAnsiTheme="minorHAnsi"/>
          <w:color w:val="000000"/>
          <w:sz w:val="22"/>
          <w:szCs w:val="22"/>
        </w:rPr>
      </w:pPr>
      <w:r w:rsidRPr="002A79AC">
        <w:rPr>
          <w:rFonts w:asciiTheme="minorHAnsi" w:hAnsiTheme="minorHAnsi"/>
          <w:color w:val="000000"/>
          <w:sz w:val="28"/>
          <w:szCs w:val="22"/>
        </w:rPr>
        <w:t xml:space="preserve">For the full report, please visit </w:t>
      </w:r>
      <w:hyperlink r:id="rId8" w:history="1">
        <w:r w:rsidR="00F14075" w:rsidRPr="002A79AC">
          <w:rPr>
            <w:rStyle w:val="Hyperlink"/>
            <w:rFonts w:asciiTheme="minorHAnsi" w:hAnsiTheme="minorHAnsi"/>
            <w:sz w:val="28"/>
            <w:szCs w:val="22"/>
          </w:rPr>
          <w:t>https://www.childtrends.org</w:t>
        </w:r>
      </w:hyperlink>
      <w:r w:rsidR="00F14075" w:rsidRPr="002A79AC">
        <w:rPr>
          <w:rFonts w:asciiTheme="minorHAnsi" w:hAnsiTheme="minorHAnsi"/>
          <w:color w:val="000000"/>
          <w:sz w:val="28"/>
          <w:szCs w:val="22"/>
        </w:rPr>
        <w:t xml:space="preserve">. </w:t>
      </w:r>
    </w:p>
    <w:p w14:paraId="18C54F97" w14:textId="05210EE4" w:rsidR="00D63622" w:rsidRPr="00717323" w:rsidRDefault="00430B85" w:rsidP="00430B85">
      <w:pPr>
        <w:pStyle w:val="NormalWeb"/>
        <w:ind w:left="567" w:hanging="567"/>
        <w:rPr>
          <w:rFonts w:asciiTheme="minorHAnsi" w:hAnsiTheme="minorHAnsi"/>
          <w:color w:val="000000"/>
        </w:rPr>
      </w:pPr>
      <w:r w:rsidRPr="00717323">
        <w:rPr>
          <w:rFonts w:asciiTheme="minorHAnsi" w:hAnsiTheme="minorHAnsi"/>
          <w:color w:val="000000"/>
        </w:rPr>
        <w:t xml:space="preserve">Andrews, K., </w:t>
      </w:r>
      <w:proofErr w:type="spellStart"/>
      <w:r w:rsidRPr="00717323">
        <w:rPr>
          <w:rFonts w:asciiTheme="minorHAnsi" w:hAnsiTheme="minorHAnsi"/>
          <w:color w:val="000000"/>
        </w:rPr>
        <w:t>Jenita</w:t>
      </w:r>
      <w:proofErr w:type="spellEnd"/>
      <w:r w:rsidRPr="00717323">
        <w:rPr>
          <w:rFonts w:asciiTheme="minorHAnsi" w:hAnsiTheme="minorHAnsi"/>
          <w:color w:val="000000"/>
        </w:rPr>
        <w:t xml:space="preserve">, P., &amp; </w:t>
      </w:r>
      <w:proofErr w:type="spellStart"/>
      <w:r w:rsidRPr="00717323">
        <w:rPr>
          <w:rFonts w:asciiTheme="minorHAnsi" w:hAnsiTheme="minorHAnsi"/>
          <w:color w:val="000000"/>
        </w:rPr>
        <w:t>Shantai</w:t>
      </w:r>
      <w:proofErr w:type="spellEnd"/>
      <w:r w:rsidRPr="00717323">
        <w:rPr>
          <w:rFonts w:asciiTheme="minorHAnsi" w:hAnsiTheme="minorHAnsi"/>
          <w:color w:val="000000"/>
        </w:rPr>
        <w:t>, P. (2019). How to Embed a Racial and Ethnic Equity Perspective in Research: Practical Guidance for the Research Process. Retrieved from https://www.childtrends.org/wp-content/uploads/2019/09/RacialEthnicEquityPerspective_ChildTrends_October2019.pdf</w:t>
      </w:r>
    </w:p>
    <w:sectPr w:rsidR="00D63622" w:rsidRPr="00717323" w:rsidSect="00F553A8">
      <w:pgSz w:w="12240" w:h="15840"/>
      <w:pgMar w:top="1152" w:right="1296"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AB5"/>
    <w:multiLevelType w:val="hybridMultilevel"/>
    <w:tmpl w:val="CB366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A25F8"/>
    <w:multiLevelType w:val="hybridMultilevel"/>
    <w:tmpl w:val="F256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C512C"/>
    <w:multiLevelType w:val="hybridMultilevel"/>
    <w:tmpl w:val="F5EADA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75838"/>
    <w:multiLevelType w:val="hybridMultilevel"/>
    <w:tmpl w:val="20A47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3385F"/>
    <w:multiLevelType w:val="hybridMultilevel"/>
    <w:tmpl w:val="91086C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650348"/>
    <w:multiLevelType w:val="hybridMultilevel"/>
    <w:tmpl w:val="16B0D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347C3"/>
    <w:multiLevelType w:val="hybridMultilevel"/>
    <w:tmpl w:val="B178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B4F52"/>
    <w:multiLevelType w:val="hybridMultilevel"/>
    <w:tmpl w:val="8CF61A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8762E3"/>
    <w:multiLevelType w:val="hybridMultilevel"/>
    <w:tmpl w:val="6056374E"/>
    <w:lvl w:ilvl="0" w:tplc="55702936">
      <w:start w:val="1"/>
      <w:numFmt w:val="decimal"/>
      <w:lvlText w:val="%1."/>
      <w:lvlJc w:val="left"/>
      <w:pPr>
        <w:ind w:left="6210" w:hanging="360"/>
      </w:pPr>
      <w:rPr>
        <w:rFonts w:hint="default"/>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9" w15:restartNumberingAfterBreak="0">
    <w:nsid w:val="3B2D7304"/>
    <w:multiLevelType w:val="hybridMultilevel"/>
    <w:tmpl w:val="353E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518FF"/>
    <w:multiLevelType w:val="hybridMultilevel"/>
    <w:tmpl w:val="36468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73DDD"/>
    <w:multiLevelType w:val="hybridMultilevel"/>
    <w:tmpl w:val="0BFC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D6CED"/>
    <w:multiLevelType w:val="hybridMultilevel"/>
    <w:tmpl w:val="41C6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F38B0"/>
    <w:multiLevelType w:val="hybridMultilevel"/>
    <w:tmpl w:val="06181B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2246B"/>
    <w:multiLevelType w:val="hybridMultilevel"/>
    <w:tmpl w:val="9D1E3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645AC8"/>
    <w:multiLevelType w:val="hybridMultilevel"/>
    <w:tmpl w:val="DC0EB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3319D"/>
    <w:multiLevelType w:val="hybridMultilevel"/>
    <w:tmpl w:val="16AE934A"/>
    <w:lvl w:ilvl="0" w:tplc="1982E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E51EA"/>
    <w:multiLevelType w:val="hybridMultilevel"/>
    <w:tmpl w:val="74F41E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5"/>
  </w:num>
  <w:num w:numId="4">
    <w:abstractNumId w:val="4"/>
  </w:num>
  <w:num w:numId="5">
    <w:abstractNumId w:val="7"/>
  </w:num>
  <w:num w:numId="6">
    <w:abstractNumId w:val="3"/>
  </w:num>
  <w:num w:numId="7">
    <w:abstractNumId w:val="15"/>
  </w:num>
  <w:num w:numId="8">
    <w:abstractNumId w:val="10"/>
  </w:num>
  <w:num w:numId="9">
    <w:abstractNumId w:val="0"/>
  </w:num>
  <w:num w:numId="10">
    <w:abstractNumId w:val="16"/>
  </w:num>
  <w:num w:numId="11">
    <w:abstractNumId w:val="8"/>
  </w:num>
  <w:num w:numId="12">
    <w:abstractNumId w:val="6"/>
  </w:num>
  <w:num w:numId="13">
    <w:abstractNumId w:val="1"/>
  </w:num>
  <w:num w:numId="14">
    <w:abstractNumId w:val="9"/>
  </w:num>
  <w:num w:numId="15">
    <w:abstractNumId w:val="11"/>
  </w:num>
  <w:num w:numId="16">
    <w:abstractNumId w:val="14"/>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22"/>
    <w:rsid w:val="000443A0"/>
    <w:rsid w:val="00092F39"/>
    <w:rsid w:val="00145217"/>
    <w:rsid w:val="00163253"/>
    <w:rsid w:val="001777E9"/>
    <w:rsid w:val="002A79AC"/>
    <w:rsid w:val="00301B4C"/>
    <w:rsid w:val="00313646"/>
    <w:rsid w:val="00336ED0"/>
    <w:rsid w:val="00405C1B"/>
    <w:rsid w:val="00430B85"/>
    <w:rsid w:val="0046505A"/>
    <w:rsid w:val="004B5642"/>
    <w:rsid w:val="00552B10"/>
    <w:rsid w:val="0058444B"/>
    <w:rsid w:val="005B3770"/>
    <w:rsid w:val="00605FDC"/>
    <w:rsid w:val="00645F14"/>
    <w:rsid w:val="0068764B"/>
    <w:rsid w:val="006A5467"/>
    <w:rsid w:val="006D2D1E"/>
    <w:rsid w:val="00717323"/>
    <w:rsid w:val="00767DA1"/>
    <w:rsid w:val="008369FD"/>
    <w:rsid w:val="00890B5A"/>
    <w:rsid w:val="008C5711"/>
    <w:rsid w:val="008D2C00"/>
    <w:rsid w:val="008F5D2B"/>
    <w:rsid w:val="00970CF7"/>
    <w:rsid w:val="0098250D"/>
    <w:rsid w:val="009906D9"/>
    <w:rsid w:val="009E0B2C"/>
    <w:rsid w:val="00A63952"/>
    <w:rsid w:val="00A63F89"/>
    <w:rsid w:val="00AA5DE4"/>
    <w:rsid w:val="00B4015D"/>
    <w:rsid w:val="00B6349F"/>
    <w:rsid w:val="00C4790F"/>
    <w:rsid w:val="00C84D2A"/>
    <w:rsid w:val="00CA3FCD"/>
    <w:rsid w:val="00CC76DA"/>
    <w:rsid w:val="00D43961"/>
    <w:rsid w:val="00D63622"/>
    <w:rsid w:val="00E11F44"/>
    <w:rsid w:val="00F14075"/>
    <w:rsid w:val="00F3451E"/>
    <w:rsid w:val="00F553A8"/>
    <w:rsid w:val="00F74391"/>
    <w:rsid w:val="00F8753D"/>
    <w:rsid w:val="00F9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A6DC"/>
  <w15:chartTrackingRefBased/>
  <w15:docId w15:val="{982CC413-9681-AE4A-B23D-CCBFDED6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622"/>
    <w:pPr>
      <w:ind w:left="720"/>
      <w:contextualSpacing/>
    </w:pPr>
  </w:style>
  <w:style w:type="paragraph" w:styleId="BalloonText">
    <w:name w:val="Balloon Text"/>
    <w:basedOn w:val="Normal"/>
    <w:link w:val="BalloonTextChar"/>
    <w:uiPriority w:val="99"/>
    <w:semiHidden/>
    <w:unhideWhenUsed/>
    <w:rsid w:val="00465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05A"/>
    <w:rPr>
      <w:rFonts w:ascii="Segoe UI" w:hAnsi="Segoe UI" w:cs="Segoe UI"/>
      <w:sz w:val="18"/>
      <w:szCs w:val="18"/>
    </w:rPr>
  </w:style>
  <w:style w:type="character" w:styleId="CommentReference">
    <w:name w:val="annotation reference"/>
    <w:basedOn w:val="DefaultParagraphFont"/>
    <w:uiPriority w:val="99"/>
    <w:semiHidden/>
    <w:unhideWhenUsed/>
    <w:rsid w:val="00A63F89"/>
    <w:rPr>
      <w:sz w:val="16"/>
      <w:szCs w:val="16"/>
    </w:rPr>
  </w:style>
  <w:style w:type="paragraph" w:styleId="CommentText">
    <w:name w:val="annotation text"/>
    <w:basedOn w:val="Normal"/>
    <w:link w:val="CommentTextChar"/>
    <w:uiPriority w:val="99"/>
    <w:semiHidden/>
    <w:unhideWhenUsed/>
    <w:rsid w:val="00A63F89"/>
    <w:rPr>
      <w:sz w:val="20"/>
      <w:szCs w:val="20"/>
    </w:rPr>
  </w:style>
  <w:style w:type="character" w:customStyle="1" w:styleId="CommentTextChar">
    <w:name w:val="Comment Text Char"/>
    <w:basedOn w:val="DefaultParagraphFont"/>
    <w:link w:val="CommentText"/>
    <w:uiPriority w:val="99"/>
    <w:semiHidden/>
    <w:rsid w:val="00A63F89"/>
    <w:rPr>
      <w:sz w:val="20"/>
      <w:szCs w:val="20"/>
    </w:rPr>
  </w:style>
  <w:style w:type="paragraph" w:styleId="CommentSubject">
    <w:name w:val="annotation subject"/>
    <w:basedOn w:val="CommentText"/>
    <w:next w:val="CommentText"/>
    <w:link w:val="CommentSubjectChar"/>
    <w:uiPriority w:val="99"/>
    <w:semiHidden/>
    <w:unhideWhenUsed/>
    <w:rsid w:val="00A63F89"/>
    <w:rPr>
      <w:b/>
      <w:bCs/>
    </w:rPr>
  </w:style>
  <w:style w:type="character" w:customStyle="1" w:styleId="CommentSubjectChar">
    <w:name w:val="Comment Subject Char"/>
    <w:basedOn w:val="CommentTextChar"/>
    <w:link w:val="CommentSubject"/>
    <w:uiPriority w:val="99"/>
    <w:semiHidden/>
    <w:rsid w:val="00A63F89"/>
    <w:rPr>
      <w:b/>
      <w:bCs/>
      <w:sz w:val="20"/>
      <w:szCs w:val="20"/>
    </w:rPr>
  </w:style>
  <w:style w:type="paragraph" w:styleId="NormalWeb">
    <w:name w:val="Normal (Web)"/>
    <w:basedOn w:val="Normal"/>
    <w:uiPriority w:val="99"/>
    <w:unhideWhenUsed/>
    <w:rsid w:val="00301B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4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4734">
      <w:bodyDiv w:val="1"/>
      <w:marLeft w:val="0"/>
      <w:marRight w:val="0"/>
      <w:marTop w:val="0"/>
      <w:marBottom w:val="0"/>
      <w:divBdr>
        <w:top w:val="none" w:sz="0" w:space="0" w:color="auto"/>
        <w:left w:val="none" w:sz="0" w:space="0" w:color="auto"/>
        <w:bottom w:val="none" w:sz="0" w:space="0" w:color="auto"/>
        <w:right w:val="none" w:sz="0" w:space="0" w:color="auto"/>
      </w:divBdr>
    </w:div>
    <w:div w:id="407653157">
      <w:bodyDiv w:val="1"/>
      <w:marLeft w:val="0"/>
      <w:marRight w:val="0"/>
      <w:marTop w:val="0"/>
      <w:marBottom w:val="0"/>
      <w:divBdr>
        <w:top w:val="none" w:sz="0" w:space="0" w:color="auto"/>
        <w:left w:val="none" w:sz="0" w:space="0" w:color="auto"/>
        <w:bottom w:val="none" w:sz="0" w:space="0" w:color="auto"/>
        <w:right w:val="none" w:sz="0" w:space="0" w:color="auto"/>
      </w:divBdr>
    </w:div>
    <w:div w:id="409892544">
      <w:bodyDiv w:val="1"/>
      <w:marLeft w:val="0"/>
      <w:marRight w:val="0"/>
      <w:marTop w:val="0"/>
      <w:marBottom w:val="0"/>
      <w:divBdr>
        <w:top w:val="none" w:sz="0" w:space="0" w:color="auto"/>
        <w:left w:val="none" w:sz="0" w:space="0" w:color="auto"/>
        <w:bottom w:val="none" w:sz="0" w:space="0" w:color="auto"/>
        <w:right w:val="none" w:sz="0" w:space="0" w:color="auto"/>
      </w:divBdr>
    </w:div>
    <w:div w:id="432825644">
      <w:bodyDiv w:val="1"/>
      <w:marLeft w:val="0"/>
      <w:marRight w:val="0"/>
      <w:marTop w:val="0"/>
      <w:marBottom w:val="0"/>
      <w:divBdr>
        <w:top w:val="none" w:sz="0" w:space="0" w:color="auto"/>
        <w:left w:val="none" w:sz="0" w:space="0" w:color="auto"/>
        <w:bottom w:val="none" w:sz="0" w:space="0" w:color="auto"/>
        <w:right w:val="none" w:sz="0" w:space="0" w:color="auto"/>
      </w:divBdr>
    </w:div>
    <w:div w:id="473790584">
      <w:bodyDiv w:val="1"/>
      <w:marLeft w:val="0"/>
      <w:marRight w:val="0"/>
      <w:marTop w:val="0"/>
      <w:marBottom w:val="0"/>
      <w:divBdr>
        <w:top w:val="none" w:sz="0" w:space="0" w:color="auto"/>
        <w:left w:val="none" w:sz="0" w:space="0" w:color="auto"/>
        <w:bottom w:val="none" w:sz="0" w:space="0" w:color="auto"/>
        <w:right w:val="none" w:sz="0" w:space="0" w:color="auto"/>
      </w:divBdr>
    </w:div>
    <w:div w:id="675159104">
      <w:bodyDiv w:val="1"/>
      <w:marLeft w:val="0"/>
      <w:marRight w:val="0"/>
      <w:marTop w:val="0"/>
      <w:marBottom w:val="0"/>
      <w:divBdr>
        <w:top w:val="none" w:sz="0" w:space="0" w:color="auto"/>
        <w:left w:val="none" w:sz="0" w:space="0" w:color="auto"/>
        <w:bottom w:val="none" w:sz="0" w:space="0" w:color="auto"/>
        <w:right w:val="none" w:sz="0" w:space="0" w:color="auto"/>
      </w:divBdr>
    </w:div>
    <w:div w:id="817385394">
      <w:bodyDiv w:val="1"/>
      <w:marLeft w:val="0"/>
      <w:marRight w:val="0"/>
      <w:marTop w:val="0"/>
      <w:marBottom w:val="0"/>
      <w:divBdr>
        <w:top w:val="none" w:sz="0" w:space="0" w:color="auto"/>
        <w:left w:val="none" w:sz="0" w:space="0" w:color="auto"/>
        <w:bottom w:val="none" w:sz="0" w:space="0" w:color="auto"/>
        <w:right w:val="none" w:sz="0" w:space="0" w:color="auto"/>
      </w:divBdr>
    </w:div>
    <w:div w:id="855971400">
      <w:bodyDiv w:val="1"/>
      <w:marLeft w:val="0"/>
      <w:marRight w:val="0"/>
      <w:marTop w:val="0"/>
      <w:marBottom w:val="0"/>
      <w:divBdr>
        <w:top w:val="none" w:sz="0" w:space="0" w:color="auto"/>
        <w:left w:val="none" w:sz="0" w:space="0" w:color="auto"/>
        <w:bottom w:val="none" w:sz="0" w:space="0" w:color="auto"/>
        <w:right w:val="none" w:sz="0" w:space="0" w:color="auto"/>
      </w:divBdr>
    </w:div>
    <w:div w:id="908031000">
      <w:bodyDiv w:val="1"/>
      <w:marLeft w:val="0"/>
      <w:marRight w:val="0"/>
      <w:marTop w:val="0"/>
      <w:marBottom w:val="0"/>
      <w:divBdr>
        <w:top w:val="none" w:sz="0" w:space="0" w:color="auto"/>
        <w:left w:val="none" w:sz="0" w:space="0" w:color="auto"/>
        <w:bottom w:val="none" w:sz="0" w:space="0" w:color="auto"/>
        <w:right w:val="none" w:sz="0" w:space="0" w:color="auto"/>
      </w:divBdr>
    </w:div>
    <w:div w:id="942032977">
      <w:bodyDiv w:val="1"/>
      <w:marLeft w:val="0"/>
      <w:marRight w:val="0"/>
      <w:marTop w:val="0"/>
      <w:marBottom w:val="0"/>
      <w:divBdr>
        <w:top w:val="none" w:sz="0" w:space="0" w:color="auto"/>
        <w:left w:val="none" w:sz="0" w:space="0" w:color="auto"/>
        <w:bottom w:val="none" w:sz="0" w:space="0" w:color="auto"/>
        <w:right w:val="none" w:sz="0" w:space="0" w:color="auto"/>
      </w:divBdr>
    </w:div>
    <w:div w:id="975641254">
      <w:bodyDiv w:val="1"/>
      <w:marLeft w:val="0"/>
      <w:marRight w:val="0"/>
      <w:marTop w:val="0"/>
      <w:marBottom w:val="0"/>
      <w:divBdr>
        <w:top w:val="none" w:sz="0" w:space="0" w:color="auto"/>
        <w:left w:val="none" w:sz="0" w:space="0" w:color="auto"/>
        <w:bottom w:val="none" w:sz="0" w:space="0" w:color="auto"/>
        <w:right w:val="none" w:sz="0" w:space="0" w:color="auto"/>
      </w:divBdr>
    </w:div>
    <w:div w:id="988825470">
      <w:bodyDiv w:val="1"/>
      <w:marLeft w:val="0"/>
      <w:marRight w:val="0"/>
      <w:marTop w:val="0"/>
      <w:marBottom w:val="0"/>
      <w:divBdr>
        <w:top w:val="none" w:sz="0" w:space="0" w:color="auto"/>
        <w:left w:val="none" w:sz="0" w:space="0" w:color="auto"/>
        <w:bottom w:val="none" w:sz="0" w:space="0" w:color="auto"/>
        <w:right w:val="none" w:sz="0" w:space="0" w:color="auto"/>
      </w:divBdr>
    </w:div>
    <w:div w:id="1005403202">
      <w:bodyDiv w:val="1"/>
      <w:marLeft w:val="0"/>
      <w:marRight w:val="0"/>
      <w:marTop w:val="0"/>
      <w:marBottom w:val="0"/>
      <w:divBdr>
        <w:top w:val="none" w:sz="0" w:space="0" w:color="auto"/>
        <w:left w:val="none" w:sz="0" w:space="0" w:color="auto"/>
        <w:bottom w:val="none" w:sz="0" w:space="0" w:color="auto"/>
        <w:right w:val="none" w:sz="0" w:space="0" w:color="auto"/>
      </w:divBdr>
    </w:div>
    <w:div w:id="1078484295">
      <w:bodyDiv w:val="1"/>
      <w:marLeft w:val="0"/>
      <w:marRight w:val="0"/>
      <w:marTop w:val="0"/>
      <w:marBottom w:val="0"/>
      <w:divBdr>
        <w:top w:val="none" w:sz="0" w:space="0" w:color="auto"/>
        <w:left w:val="none" w:sz="0" w:space="0" w:color="auto"/>
        <w:bottom w:val="none" w:sz="0" w:space="0" w:color="auto"/>
        <w:right w:val="none" w:sz="0" w:space="0" w:color="auto"/>
      </w:divBdr>
    </w:div>
    <w:div w:id="1245337176">
      <w:bodyDiv w:val="1"/>
      <w:marLeft w:val="0"/>
      <w:marRight w:val="0"/>
      <w:marTop w:val="0"/>
      <w:marBottom w:val="0"/>
      <w:divBdr>
        <w:top w:val="none" w:sz="0" w:space="0" w:color="auto"/>
        <w:left w:val="none" w:sz="0" w:space="0" w:color="auto"/>
        <w:bottom w:val="none" w:sz="0" w:space="0" w:color="auto"/>
        <w:right w:val="none" w:sz="0" w:space="0" w:color="auto"/>
      </w:divBdr>
    </w:div>
    <w:div w:id="1431778999">
      <w:bodyDiv w:val="1"/>
      <w:marLeft w:val="0"/>
      <w:marRight w:val="0"/>
      <w:marTop w:val="0"/>
      <w:marBottom w:val="0"/>
      <w:divBdr>
        <w:top w:val="none" w:sz="0" w:space="0" w:color="auto"/>
        <w:left w:val="none" w:sz="0" w:space="0" w:color="auto"/>
        <w:bottom w:val="none" w:sz="0" w:space="0" w:color="auto"/>
        <w:right w:val="none" w:sz="0" w:space="0" w:color="auto"/>
      </w:divBdr>
    </w:div>
    <w:div w:id="1630821505">
      <w:bodyDiv w:val="1"/>
      <w:marLeft w:val="0"/>
      <w:marRight w:val="0"/>
      <w:marTop w:val="0"/>
      <w:marBottom w:val="0"/>
      <w:divBdr>
        <w:top w:val="none" w:sz="0" w:space="0" w:color="auto"/>
        <w:left w:val="none" w:sz="0" w:space="0" w:color="auto"/>
        <w:bottom w:val="none" w:sz="0" w:space="0" w:color="auto"/>
        <w:right w:val="none" w:sz="0" w:space="0" w:color="auto"/>
      </w:divBdr>
    </w:div>
    <w:div w:id="1653369142">
      <w:bodyDiv w:val="1"/>
      <w:marLeft w:val="0"/>
      <w:marRight w:val="0"/>
      <w:marTop w:val="0"/>
      <w:marBottom w:val="0"/>
      <w:divBdr>
        <w:top w:val="none" w:sz="0" w:space="0" w:color="auto"/>
        <w:left w:val="none" w:sz="0" w:space="0" w:color="auto"/>
        <w:bottom w:val="none" w:sz="0" w:space="0" w:color="auto"/>
        <w:right w:val="none" w:sz="0" w:space="0" w:color="auto"/>
      </w:divBdr>
    </w:div>
    <w:div w:id="1782260225">
      <w:bodyDiv w:val="1"/>
      <w:marLeft w:val="0"/>
      <w:marRight w:val="0"/>
      <w:marTop w:val="0"/>
      <w:marBottom w:val="0"/>
      <w:divBdr>
        <w:top w:val="none" w:sz="0" w:space="0" w:color="auto"/>
        <w:left w:val="none" w:sz="0" w:space="0" w:color="auto"/>
        <w:bottom w:val="none" w:sz="0" w:space="0" w:color="auto"/>
        <w:right w:val="none" w:sz="0" w:space="0" w:color="auto"/>
      </w:divBdr>
    </w:div>
    <w:div w:id="1827476094">
      <w:bodyDiv w:val="1"/>
      <w:marLeft w:val="0"/>
      <w:marRight w:val="0"/>
      <w:marTop w:val="0"/>
      <w:marBottom w:val="0"/>
      <w:divBdr>
        <w:top w:val="none" w:sz="0" w:space="0" w:color="auto"/>
        <w:left w:val="none" w:sz="0" w:space="0" w:color="auto"/>
        <w:bottom w:val="none" w:sz="0" w:space="0" w:color="auto"/>
        <w:right w:val="none" w:sz="0" w:space="0" w:color="auto"/>
      </w:divBdr>
    </w:div>
    <w:div w:id="1924870987">
      <w:bodyDiv w:val="1"/>
      <w:marLeft w:val="0"/>
      <w:marRight w:val="0"/>
      <w:marTop w:val="0"/>
      <w:marBottom w:val="0"/>
      <w:divBdr>
        <w:top w:val="none" w:sz="0" w:space="0" w:color="auto"/>
        <w:left w:val="none" w:sz="0" w:space="0" w:color="auto"/>
        <w:bottom w:val="none" w:sz="0" w:space="0" w:color="auto"/>
        <w:right w:val="none" w:sz="0" w:space="0" w:color="auto"/>
      </w:divBdr>
    </w:div>
    <w:div w:id="2063554938">
      <w:bodyDiv w:val="1"/>
      <w:marLeft w:val="0"/>
      <w:marRight w:val="0"/>
      <w:marTop w:val="0"/>
      <w:marBottom w:val="0"/>
      <w:divBdr>
        <w:top w:val="none" w:sz="0" w:space="0" w:color="auto"/>
        <w:left w:val="none" w:sz="0" w:space="0" w:color="auto"/>
        <w:bottom w:val="none" w:sz="0" w:space="0" w:color="auto"/>
        <w:right w:val="none" w:sz="0" w:space="0" w:color="auto"/>
      </w:divBdr>
    </w:div>
    <w:div w:id="21334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trend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DD68EE2241D47810CEAC3A86CA47E" ma:contentTypeVersion="13" ma:contentTypeDescription="Create a new document." ma:contentTypeScope="" ma:versionID="b9bc8202cb4a3c84589c9c43bd46481b">
  <xsd:schema xmlns:xsd="http://www.w3.org/2001/XMLSchema" xmlns:xs="http://www.w3.org/2001/XMLSchema" xmlns:p="http://schemas.microsoft.com/office/2006/metadata/properties" xmlns:ns3="c1722c72-ebd8-4e2f-af73-973f6934a87d" xmlns:ns4="02716bd5-b5b3-470e-8312-9467075991a4" targetNamespace="http://schemas.microsoft.com/office/2006/metadata/properties" ma:root="true" ma:fieldsID="fd824dee2aae38691f561d3690570ce9" ns3:_="" ns4:_="">
    <xsd:import namespace="c1722c72-ebd8-4e2f-af73-973f6934a87d"/>
    <xsd:import namespace="02716bd5-b5b3-470e-8312-9467075991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2c72-ebd8-4e2f-af73-973f6934a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16bd5-b5b3-470e-8312-9467075991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F782A-1FF8-48D2-9A24-40CE9F555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2c72-ebd8-4e2f-af73-973f6934a87d"/>
    <ds:schemaRef ds:uri="02716bd5-b5b3-470e-8312-946707599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22415-3408-49D6-A491-BD447A1DEC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047819-E9B4-452D-8928-1B33DF2DA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Emery,Alice Kaye</dc:creator>
  <cp:keywords/>
  <dc:description/>
  <cp:lastModifiedBy>Beaulieu, Diana Joyce</cp:lastModifiedBy>
  <cp:revision>2</cp:revision>
  <dcterms:created xsi:type="dcterms:W3CDTF">2021-03-11T21:56:00Z</dcterms:created>
  <dcterms:modified xsi:type="dcterms:W3CDTF">2021-03-11T21:56:00Z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0x010100CB5DD68EE2241D47810CEAC3A86CA47E</vt:lpwstr>
  </property>
</Properties>
</file>