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E016" w14:textId="77777777" w:rsidR="000C281A" w:rsidRPr="00805401" w:rsidRDefault="000C281A" w:rsidP="00F04E16">
      <w:pPr>
        <w:tabs>
          <w:tab w:val="left" w:pos="8640"/>
        </w:tabs>
        <w:rPr>
          <w:rFonts w:asciiTheme="majorHAnsi" w:hAnsiTheme="majorHAnsi"/>
          <w:b/>
        </w:rPr>
      </w:pPr>
      <w:r w:rsidRPr="00805401">
        <w:rPr>
          <w:rFonts w:asciiTheme="majorHAnsi" w:hAnsiTheme="majorHAnsi"/>
          <w:b/>
        </w:rPr>
        <w:t>Budgetary Affairs Committee</w:t>
      </w:r>
    </w:p>
    <w:p w14:paraId="04334F96" w14:textId="77777777" w:rsidR="00D35C60" w:rsidRPr="00805401" w:rsidRDefault="0037731E" w:rsidP="00F04E16">
      <w:pPr>
        <w:tabs>
          <w:tab w:val="left" w:pos="8640"/>
        </w:tabs>
        <w:rPr>
          <w:rFonts w:asciiTheme="majorHAnsi" w:hAnsiTheme="majorHAnsi"/>
          <w:b/>
        </w:rPr>
      </w:pPr>
      <w:r w:rsidRPr="00805401">
        <w:rPr>
          <w:rFonts w:asciiTheme="majorHAnsi" w:hAnsiTheme="majorHAnsi"/>
          <w:b/>
        </w:rPr>
        <w:t>End of Year Report</w:t>
      </w:r>
    </w:p>
    <w:p w14:paraId="3F80EBAF" w14:textId="34A2C9DE" w:rsidR="00FB1E84" w:rsidRPr="00805401" w:rsidRDefault="00D6000F" w:rsidP="00F04E16">
      <w:pPr>
        <w:tabs>
          <w:tab w:val="left" w:pos="8640"/>
        </w:tabs>
        <w:rPr>
          <w:rFonts w:asciiTheme="majorHAnsi" w:hAnsiTheme="majorHAnsi"/>
          <w:b/>
        </w:rPr>
      </w:pPr>
      <w:r w:rsidRPr="00805401">
        <w:rPr>
          <w:rFonts w:asciiTheme="majorHAnsi" w:hAnsiTheme="majorHAnsi"/>
          <w:b/>
        </w:rPr>
        <w:t>April 20, 2015</w:t>
      </w:r>
      <w:bookmarkStart w:id="0" w:name="_GoBack"/>
      <w:bookmarkEnd w:id="0"/>
    </w:p>
    <w:p w14:paraId="4FDE6945" w14:textId="77777777" w:rsidR="00CF3C97" w:rsidRPr="00805401" w:rsidRDefault="00CF3C97" w:rsidP="00F04E16">
      <w:pPr>
        <w:tabs>
          <w:tab w:val="left" w:pos="8640"/>
        </w:tabs>
        <w:rPr>
          <w:rFonts w:asciiTheme="majorHAnsi" w:hAnsiTheme="majorHAnsi"/>
        </w:rPr>
      </w:pPr>
    </w:p>
    <w:p w14:paraId="22796DF6" w14:textId="77777777" w:rsidR="00FB1E84" w:rsidRPr="00805401" w:rsidRDefault="00FB1E84" w:rsidP="00F04E16">
      <w:pPr>
        <w:tabs>
          <w:tab w:val="left" w:pos="8640"/>
        </w:tabs>
        <w:rPr>
          <w:rFonts w:asciiTheme="majorHAnsi" w:hAnsiTheme="majorHAnsi"/>
          <w:b/>
          <w:u w:val="single"/>
        </w:rPr>
      </w:pPr>
      <w:r w:rsidRPr="00805401">
        <w:rPr>
          <w:rFonts w:asciiTheme="majorHAnsi" w:hAnsiTheme="majorHAnsi"/>
          <w:b/>
          <w:u w:val="single"/>
        </w:rPr>
        <w:t>Meetings and Minutes</w:t>
      </w:r>
    </w:p>
    <w:p w14:paraId="6427072A" w14:textId="77777777" w:rsidR="00D6000F" w:rsidRPr="00805401" w:rsidRDefault="00D6000F" w:rsidP="00F04E16">
      <w:pPr>
        <w:tabs>
          <w:tab w:val="left" w:pos="8640"/>
        </w:tabs>
        <w:rPr>
          <w:rFonts w:asciiTheme="majorHAnsi" w:hAnsiTheme="majorHAnsi"/>
        </w:rPr>
      </w:pPr>
    </w:p>
    <w:p w14:paraId="277C2D71" w14:textId="0E1105FC" w:rsidR="00CF3C97" w:rsidRPr="00805401" w:rsidRDefault="00CF3C97" w:rsidP="00F04E16">
      <w:pPr>
        <w:tabs>
          <w:tab w:val="left" w:pos="8640"/>
        </w:tabs>
        <w:rPr>
          <w:rFonts w:asciiTheme="majorHAnsi" w:hAnsiTheme="majorHAnsi"/>
        </w:rPr>
      </w:pPr>
      <w:r w:rsidRPr="00805401">
        <w:rPr>
          <w:rFonts w:asciiTheme="majorHAnsi" w:hAnsiTheme="majorHAnsi"/>
        </w:rPr>
        <w:t xml:space="preserve">The Budgetary Affairs Committee </w:t>
      </w:r>
      <w:r w:rsidR="008C1FC7" w:rsidRPr="00805401">
        <w:rPr>
          <w:rFonts w:asciiTheme="majorHAnsi" w:hAnsiTheme="majorHAnsi"/>
        </w:rPr>
        <w:t xml:space="preserve">(BAC) </w:t>
      </w:r>
      <w:r w:rsidR="006033F6" w:rsidRPr="00805401">
        <w:rPr>
          <w:rFonts w:asciiTheme="majorHAnsi" w:hAnsiTheme="majorHAnsi"/>
        </w:rPr>
        <w:t>met</w:t>
      </w:r>
      <w:r w:rsidRPr="00805401">
        <w:rPr>
          <w:rFonts w:asciiTheme="majorHAnsi" w:hAnsiTheme="majorHAnsi"/>
        </w:rPr>
        <w:t xml:space="preserve"> </w:t>
      </w:r>
      <w:r w:rsidR="006033F6" w:rsidRPr="00805401">
        <w:rPr>
          <w:rFonts w:asciiTheme="majorHAnsi" w:hAnsiTheme="majorHAnsi"/>
        </w:rPr>
        <w:t xml:space="preserve">on the </w:t>
      </w:r>
      <w:r w:rsidRPr="00805401">
        <w:rPr>
          <w:rFonts w:asciiTheme="majorHAnsi" w:hAnsiTheme="majorHAnsi"/>
        </w:rPr>
        <w:t>following dates during the 201</w:t>
      </w:r>
      <w:r w:rsidR="00D6000F" w:rsidRPr="00805401">
        <w:rPr>
          <w:rFonts w:asciiTheme="majorHAnsi" w:hAnsiTheme="majorHAnsi"/>
        </w:rPr>
        <w:t>4</w:t>
      </w:r>
      <w:r w:rsidRPr="00805401">
        <w:rPr>
          <w:rFonts w:asciiTheme="majorHAnsi" w:hAnsiTheme="majorHAnsi"/>
        </w:rPr>
        <w:t>-201</w:t>
      </w:r>
      <w:r w:rsidR="00D6000F" w:rsidRPr="00805401">
        <w:rPr>
          <w:rFonts w:asciiTheme="majorHAnsi" w:hAnsiTheme="majorHAnsi"/>
        </w:rPr>
        <w:t>5</w:t>
      </w:r>
      <w:r w:rsidRPr="00805401">
        <w:rPr>
          <w:rFonts w:asciiTheme="majorHAnsi" w:hAnsiTheme="majorHAnsi"/>
        </w:rPr>
        <w:t xml:space="preserve"> academic year</w:t>
      </w:r>
      <w:r w:rsidR="001900E4" w:rsidRPr="00805401">
        <w:rPr>
          <w:rFonts w:asciiTheme="majorHAnsi" w:hAnsiTheme="majorHAnsi"/>
        </w:rPr>
        <w:t xml:space="preserve">, and minutes have been </w:t>
      </w:r>
      <w:r w:rsidR="00DC0CE9">
        <w:rPr>
          <w:rFonts w:asciiTheme="majorHAnsi" w:hAnsiTheme="majorHAnsi"/>
        </w:rPr>
        <w:t xml:space="preserve">approved and </w:t>
      </w:r>
      <w:r w:rsidR="001900E4" w:rsidRPr="00805401">
        <w:rPr>
          <w:rFonts w:asciiTheme="majorHAnsi" w:hAnsiTheme="majorHAnsi"/>
        </w:rPr>
        <w:t>submitt</w:t>
      </w:r>
      <w:r w:rsidR="00D6000F" w:rsidRPr="00805401">
        <w:rPr>
          <w:rFonts w:asciiTheme="majorHAnsi" w:hAnsiTheme="majorHAnsi"/>
        </w:rPr>
        <w:t>ed for all dates:  October 1</w:t>
      </w:r>
      <w:r w:rsidR="001900E4" w:rsidRPr="00805401">
        <w:rPr>
          <w:rFonts w:asciiTheme="majorHAnsi" w:hAnsiTheme="majorHAnsi"/>
        </w:rPr>
        <w:t xml:space="preserve">, </w:t>
      </w:r>
      <w:r w:rsidR="00D6000F" w:rsidRPr="00805401">
        <w:rPr>
          <w:rFonts w:asciiTheme="majorHAnsi" w:hAnsiTheme="majorHAnsi"/>
        </w:rPr>
        <w:t>November 5, December 3, February 4, March 11</w:t>
      </w:r>
      <w:r w:rsidR="001900E4" w:rsidRPr="00805401">
        <w:rPr>
          <w:rFonts w:asciiTheme="majorHAnsi" w:hAnsiTheme="majorHAnsi"/>
        </w:rPr>
        <w:t>,</w:t>
      </w:r>
      <w:r w:rsidR="00D6000F" w:rsidRPr="00805401">
        <w:rPr>
          <w:rFonts w:asciiTheme="majorHAnsi" w:hAnsiTheme="majorHAnsi"/>
        </w:rPr>
        <w:t xml:space="preserve"> and April</w:t>
      </w:r>
      <w:r w:rsidR="001900E4" w:rsidRPr="00805401">
        <w:rPr>
          <w:rFonts w:asciiTheme="majorHAnsi" w:hAnsiTheme="majorHAnsi"/>
        </w:rPr>
        <w:t xml:space="preserve"> 1.</w:t>
      </w:r>
    </w:p>
    <w:p w14:paraId="61E80EEE" w14:textId="77777777" w:rsidR="00CF3C97" w:rsidRPr="00805401" w:rsidRDefault="00CF3C97" w:rsidP="00F04E16">
      <w:pPr>
        <w:tabs>
          <w:tab w:val="left" w:pos="8640"/>
        </w:tabs>
        <w:rPr>
          <w:rFonts w:asciiTheme="majorHAnsi" w:hAnsiTheme="majorHAnsi"/>
        </w:rPr>
      </w:pPr>
    </w:p>
    <w:p w14:paraId="1E91BA39" w14:textId="77777777" w:rsidR="00FB1E84" w:rsidRPr="00805401" w:rsidRDefault="00FB1E84" w:rsidP="00F04E16">
      <w:pPr>
        <w:tabs>
          <w:tab w:val="left" w:pos="8640"/>
        </w:tabs>
        <w:rPr>
          <w:rFonts w:asciiTheme="majorHAnsi" w:hAnsiTheme="majorHAnsi"/>
          <w:b/>
          <w:u w:val="single"/>
        </w:rPr>
      </w:pPr>
      <w:r w:rsidRPr="00805401">
        <w:rPr>
          <w:rFonts w:asciiTheme="majorHAnsi" w:hAnsiTheme="majorHAnsi"/>
          <w:b/>
          <w:u w:val="single"/>
        </w:rPr>
        <w:t>Major Goals and Accomplishments</w:t>
      </w:r>
    </w:p>
    <w:p w14:paraId="1A789745" w14:textId="77777777" w:rsidR="00DF155C" w:rsidRPr="00805401" w:rsidRDefault="00DF155C" w:rsidP="00F04E16">
      <w:pPr>
        <w:tabs>
          <w:tab w:val="left" w:pos="8640"/>
        </w:tabs>
        <w:rPr>
          <w:rFonts w:asciiTheme="majorHAnsi" w:hAnsiTheme="majorHAnsi"/>
        </w:rPr>
      </w:pPr>
    </w:p>
    <w:p w14:paraId="1C127853" w14:textId="52CE869E" w:rsidR="00534AD6" w:rsidRDefault="008C1FC7" w:rsidP="00F04E16">
      <w:pPr>
        <w:tabs>
          <w:tab w:val="left" w:pos="8640"/>
        </w:tabs>
        <w:rPr>
          <w:rFonts w:asciiTheme="majorHAnsi" w:hAnsiTheme="majorHAnsi"/>
        </w:rPr>
      </w:pPr>
      <w:r w:rsidRPr="00805401">
        <w:rPr>
          <w:rFonts w:asciiTheme="majorHAnsi" w:hAnsiTheme="majorHAnsi"/>
        </w:rPr>
        <w:t xml:space="preserve">The BAC </w:t>
      </w:r>
      <w:r w:rsidR="001900E4" w:rsidRPr="00805401">
        <w:rPr>
          <w:rFonts w:asciiTheme="majorHAnsi" w:hAnsiTheme="majorHAnsi"/>
        </w:rPr>
        <w:t xml:space="preserve">began the year by reviewing </w:t>
      </w:r>
      <w:r w:rsidR="00805401">
        <w:rPr>
          <w:rFonts w:asciiTheme="majorHAnsi" w:hAnsiTheme="majorHAnsi"/>
        </w:rPr>
        <w:t xml:space="preserve">and approving minutes from </w:t>
      </w:r>
      <w:r w:rsidR="00534AD6">
        <w:rPr>
          <w:rFonts w:asciiTheme="majorHAnsi" w:hAnsiTheme="majorHAnsi"/>
        </w:rPr>
        <w:t xml:space="preserve">the </w:t>
      </w:r>
      <w:r w:rsidR="00805401">
        <w:rPr>
          <w:rFonts w:asciiTheme="majorHAnsi" w:hAnsiTheme="majorHAnsi"/>
        </w:rPr>
        <w:t>May 2014 meeting and the BAC end-of-year report. The committee also reviewed last year’s recommendations for this year’s committee work and decided to focus on the following</w:t>
      </w:r>
      <w:r w:rsidR="00534AD6">
        <w:rPr>
          <w:rFonts w:asciiTheme="majorHAnsi" w:hAnsiTheme="majorHAnsi"/>
        </w:rPr>
        <w:t xml:space="preserve"> areas: entrepreneur</w:t>
      </w:r>
      <w:r w:rsidR="00A61431">
        <w:rPr>
          <w:rFonts w:asciiTheme="majorHAnsi" w:hAnsiTheme="majorHAnsi"/>
        </w:rPr>
        <w:t>ial</w:t>
      </w:r>
      <w:r w:rsidR="00534AD6">
        <w:rPr>
          <w:rFonts w:asciiTheme="majorHAnsi" w:hAnsiTheme="majorHAnsi"/>
        </w:rPr>
        <w:t xml:space="preserve"> activities, policies and procedures for budget decisions, merit policies</w:t>
      </w:r>
      <w:r w:rsidR="00712DB7">
        <w:rPr>
          <w:rFonts w:asciiTheme="majorHAnsi" w:hAnsiTheme="majorHAnsi"/>
        </w:rPr>
        <w:t xml:space="preserve"> across units</w:t>
      </w:r>
      <w:r w:rsidR="00534AD6">
        <w:rPr>
          <w:rFonts w:asciiTheme="majorHAnsi" w:hAnsiTheme="majorHAnsi"/>
        </w:rPr>
        <w:t>, IDC and Salary savings policies</w:t>
      </w:r>
      <w:r w:rsidR="00712DB7">
        <w:rPr>
          <w:rFonts w:asciiTheme="majorHAnsi" w:hAnsiTheme="majorHAnsi"/>
        </w:rPr>
        <w:t xml:space="preserve"> across units</w:t>
      </w:r>
      <w:r w:rsidR="00BE65B7">
        <w:rPr>
          <w:rFonts w:asciiTheme="majorHAnsi" w:hAnsiTheme="majorHAnsi"/>
        </w:rPr>
        <w:t>.</w:t>
      </w:r>
    </w:p>
    <w:p w14:paraId="634BE443" w14:textId="77777777" w:rsidR="00534AD6" w:rsidRDefault="00534AD6" w:rsidP="00F04E16">
      <w:pPr>
        <w:tabs>
          <w:tab w:val="left" w:pos="8640"/>
        </w:tabs>
        <w:rPr>
          <w:rFonts w:asciiTheme="majorHAnsi" w:hAnsiTheme="majorHAnsi"/>
        </w:rPr>
      </w:pPr>
    </w:p>
    <w:p w14:paraId="57A1D68D" w14:textId="756828E0" w:rsidR="00CF3C97" w:rsidRPr="00805401" w:rsidRDefault="009D5F60" w:rsidP="00F04E16">
      <w:pPr>
        <w:tabs>
          <w:tab w:val="left" w:pos="8640"/>
        </w:tabs>
        <w:rPr>
          <w:rFonts w:asciiTheme="majorHAnsi" w:hAnsiTheme="majorHAnsi"/>
        </w:rPr>
      </w:pPr>
      <w:r w:rsidRPr="00805401">
        <w:rPr>
          <w:rFonts w:asciiTheme="majorHAnsi" w:hAnsiTheme="majorHAnsi"/>
        </w:rPr>
        <w:t xml:space="preserve">Accomplishments for </w:t>
      </w:r>
      <w:r w:rsidR="006F09C5" w:rsidRPr="00805401">
        <w:rPr>
          <w:rFonts w:asciiTheme="majorHAnsi" w:hAnsiTheme="majorHAnsi"/>
        </w:rPr>
        <w:t>the year included</w:t>
      </w:r>
      <w:r w:rsidR="008C1FC7" w:rsidRPr="00805401">
        <w:rPr>
          <w:rFonts w:asciiTheme="majorHAnsi" w:hAnsiTheme="majorHAnsi"/>
        </w:rPr>
        <w:t xml:space="preserve">  </w:t>
      </w:r>
    </w:p>
    <w:p w14:paraId="76B0C1C0" w14:textId="77777777" w:rsidR="008C1FC7" w:rsidRPr="00805401" w:rsidRDefault="008C1FC7" w:rsidP="00F04E16">
      <w:pPr>
        <w:tabs>
          <w:tab w:val="left" w:pos="8640"/>
        </w:tabs>
        <w:rPr>
          <w:rFonts w:asciiTheme="majorHAnsi" w:hAnsiTheme="majorHAnsi"/>
        </w:rPr>
      </w:pPr>
    </w:p>
    <w:p w14:paraId="7605DD7B" w14:textId="77777777" w:rsidR="008A6CB3" w:rsidRDefault="006F09C5" w:rsidP="00F04E16">
      <w:pPr>
        <w:pStyle w:val="ListParagraph"/>
        <w:numPr>
          <w:ilvl w:val="0"/>
          <w:numId w:val="8"/>
        </w:numPr>
        <w:tabs>
          <w:tab w:val="left" w:pos="8640"/>
        </w:tabs>
        <w:rPr>
          <w:rFonts w:asciiTheme="majorHAnsi" w:hAnsiTheme="majorHAnsi"/>
        </w:rPr>
      </w:pPr>
      <w:r w:rsidRPr="00805401">
        <w:rPr>
          <w:rFonts w:asciiTheme="majorHAnsi" w:hAnsiTheme="majorHAnsi"/>
          <w:b/>
        </w:rPr>
        <w:t>M</w:t>
      </w:r>
      <w:r w:rsidR="007475AE" w:rsidRPr="00805401">
        <w:rPr>
          <w:rFonts w:asciiTheme="majorHAnsi" w:hAnsiTheme="majorHAnsi"/>
          <w:b/>
        </w:rPr>
        <w:t>onthly budget updates</w:t>
      </w:r>
      <w:r w:rsidR="007475AE" w:rsidRPr="00805401">
        <w:rPr>
          <w:rFonts w:asciiTheme="majorHAnsi" w:hAnsiTheme="majorHAnsi"/>
        </w:rPr>
        <w:t xml:space="preserve"> from Associate Dean</w:t>
      </w:r>
      <w:r w:rsidRPr="00805401">
        <w:rPr>
          <w:rFonts w:asciiTheme="majorHAnsi" w:hAnsiTheme="majorHAnsi"/>
        </w:rPr>
        <w:t xml:space="preserve"> and Business Office </w:t>
      </w:r>
      <w:r w:rsidR="009D5F60" w:rsidRPr="00805401">
        <w:rPr>
          <w:rFonts w:asciiTheme="majorHAnsi" w:hAnsiTheme="majorHAnsi"/>
        </w:rPr>
        <w:t xml:space="preserve">to increase communication and transparency in fiscal matters. </w:t>
      </w:r>
    </w:p>
    <w:p w14:paraId="26A0357E" w14:textId="50EB2CBA" w:rsidR="009045FA" w:rsidRPr="00367F4C" w:rsidRDefault="006F09C5" w:rsidP="00F04E16">
      <w:pPr>
        <w:pStyle w:val="ListParagraph"/>
        <w:numPr>
          <w:ilvl w:val="0"/>
          <w:numId w:val="8"/>
        </w:numPr>
        <w:tabs>
          <w:tab w:val="left" w:pos="8640"/>
        </w:tabs>
        <w:rPr>
          <w:rFonts w:asciiTheme="majorHAnsi" w:hAnsiTheme="majorHAnsi"/>
        </w:rPr>
      </w:pPr>
      <w:r w:rsidRPr="00805401">
        <w:rPr>
          <w:rFonts w:asciiTheme="majorHAnsi" w:hAnsiTheme="majorHAnsi"/>
          <w:b/>
        </w:rPr>
        <w:t xml:space="preserve">Focus on </w:t>
      </w:r>
      <w:r w:rsidR="004C1262">
        <w:rPr>
          <w:rFonts w:asciiTheme="majorHAnsi" w:hAnsiTheme="majorHAnsi"/>
          <w:b/>
        </w:rPr>
        <w:t>SCH and Entrepreneur</w:t>
      </w:r>
      <w:r w:rsidR="00145AE8">
        <w:rPr>
          <w:rFonts w:asciiTheme="majorHAnsi" w:hAnsiTheme="majorHAnsi"/>
          <w:b/>
        </w:rPr>
        <w:t>ial</w:t>
      </w:r>
      <w:r w:rsidR="004C1262">
        <w:rPr>
          <w:rFonts w:asciiTheme="majorHAnsi" w:hAnsiTheme="majorHAnsi"/>
          <w:b/>
        </w:rPr>
        <w:t xml:space="preserve"> Activities</w:t>
      </w:r>
      <w:r w:rsidRPr="00805401">
        <w:rPr>
          <w:rFonts w:asciiTheme="majorHAnsi" w:hAnsiTheme="majorHAnsi"/>
          <w:b/>
        </w:rPr>
        <w:t>:</w:t>
      </w:r>
      <w:r w:rsidRPr="00805401">
        <w:rPr>
          <w:rFonts w:asciiTheme="majorHAnsi" w:hAnsiTheme="majorHAnsi"/>
        </w:rPr>
        <w:t xml:space="preserve"> </w:t>
      </w:r>
      <w:r w:rsidR="00712DB7">
        <w:rPr>
          <w:rFonts w:asciiTheme="majorHAnsi" w:hAnsiTheme="majorHAnsi"/>
        </w:rPr>
        <w:t xml:space="preserve">Across several BAC monthly meetings, </w:t>
      </w:r>
      <w:r w:rsidR="00CF49C3">
        <w:rPr>
          <w:rFonts w:asciiTheme="majorHAnsi" w:hAnsiTheme="majorHAnsi"/>
        </w:rPr>
        <w:t>data about student credit h</w:t>
      </w:r>
      <w:r w:rsidR="00953F0C">
        <w:rPr>
          <w:rFonts w:asciiTheme="majorHAnsi" w:hAnsiTheme="majorHAnsi"/>
        </w:rPr>
        <w:t xml:space="preserve">ours (SCH) generation </w:t>
      </w:r>
      <w:r w:rsidR="009045FA">
        <w:rPr>
          <w:rFonts w:asciiTheme="majorHAnsi" w:hAnsiTheme="majorHAnsi"/>
        </w:rPr>
        <w:t xml:space="preserve">in the COE and across its units </w:t>
      </w:r>
      <w:r w:rsidR="00CF49C3">
        <w:rPr>
          <w:rFonts w:asciiTheme="majorHAnsi" w:hAnsiTheme="majorHAnsi"/>
        </w:rPr>
        <w:t xml:space="preserve">were shared. Concerns were expressed about decreasing SCH </w:t>
      </w:r>
      <w:r w:rsidR="009045FA">
        <w:rPr>
          <w:rFonts w:asciiTheme="majorHAnsi" w:hAnsiTheme="majorHAnsi"/>
        </w:rPr>
        <w:t>over the past couple of years</w:t>
      </w:r>
      <w:r w:rsidR="00DC0CE9">
        <w:rPr>
          <w:rFonts w:asciiTheme="majorHAnsi" w:hAnsiTheme="majorHAnsi"/>
        </w:rPr>
        <w:t xml:space="preserve">. </w:t>
      </w:r>
      <w:r w:rsidR="009045FA">
        <w:rPr>
          <w:rFonts w:asciiTheme="majorHAnsi" w:hAnsiTheme="majorHAnsi"/>
        </w:rPr>
        <w:t>Ideas f</w:t>
      </w:r>
      <w:r w:rsidR="00705608">
        <w:rPr>
          <w:rFonts w:asciiTheme="majorHAnsi" w:hAnsiTheme="majorHAnsi"/>
        </w:rPr>
        <w:t>or increasing SCH generation were</w:t>
      </w:r>
      <w:r w:rsidR="009045FA">
        <w:rPr>
          <w:rFonts w:asciiTheme="majorHAnsi" w:hAnsiTheme="majorHAnsi"/>
        </w:rPr>
        <w:t xml:space="preserve"> discussed, including beefing up our recruitment efforts (e.g., getting more high school graduates </w:t>
      </w:r>
      <w:r w:rsidR="00BC0C84">
        <w:rPr>
          <w:rFonts w:asciiTheme="majorHAnsi" w:hAnsiTheme="majorHAnsi"/>
        </w:rPr>
        <w:t>to major or minor in education) and</w:t>
      </w:r>
      <w:r w:rsidR="009045FA">
        <w:rPr>
          <w:rFonts w:asciiTheme="majorHAnsi" w:hAnsiTheme="majorHAnsi"/>
        </w:rPr>
        <w:t xml:space="preserve"> increa</w:t>
      </w:r>
      <w:r w:rsidR="00BC0C84">
        <w:rPr>
          <w:rFonts w:asciiTheme="majorHAnsi" w:hAnsiTheme="majorHAnsi"/>
        </w:rPr>
        <w:t>sing our entrepreneur</w:t>
      </w:r>
      <w:r w:rsidR="00A61431">
        <w:rPr>
          <w:rFonts w:asciiTheme="majorHAnsi" w:hAnsiTheme="majorHAnsi"/>
        </w:rPr>
        <w:t>ial</w:t>
      </w:r>
      <w:r w:rsidR="00BC0C84">
        <w:rPr>
          <w:rFonts w:asciiTheme="majorHAnsi" w:hAnsiTheme="majorHAnsi"/>
        </w:rPr>
        <w:t xml:space="preserve"> </w:t>
      </w:r>
      <w:r w:rsidR="009045FA">
        <w:rPr>
          <w:rFonts w:asciiTheme="majorHAnsi" w:hAnsiTheme="majorHAnsi" w:cs="Calibri"/>
        </w:rPr>
        <w:t>activities (e.g., developing a new undergraduate major in education)</w:t>
      </w:r>
      <w:r w:rsidR="00BC0C84">
        <w:rPr>
          <w:rFonts w:asciiTheme="majorHAnsi" w:hAnsiTheme="majorHAnsi" w:cs="Calibri"/>
        </w:rPr>
        <w:t xml:space="preserve">, as well as </w:t>
      </w:r>
      <w:r w:rsidR="009045FA">
        <w:rPr>
          <w:rFonts w:asciiTheme="majorHAnsi" w:hAnsiTheme="majorHAnsi" w:cs="Calibri"/>
        </w:rPr>
        <w:t>revamping some existing courses (e.g., Introduction to Education)</w:t>
      </w:r>
      <w:r w:rsidR="00BC0C84">
        <w:rPr>
          <w:rFonts w:asciiTheme="majorHAnsi" w:hAnsiTheme="majorHAnsi" w:cs="Calibri"/>
        </w:rPr>
        <w:t xml:space="preserve"> </w:t>
      </w:r>
      <w:r w:rsidR="009045FA">
        <w:rPr>
          <w:rFonts w:asciiTheme="majorHAnsi" w:hAnsiTheme="majorHAnsi" w:cs="Calibri"/>
        </w:rPr>
        <w:t xml:space="preserve">and developing new courses </w:t>
      </w:r>
      <w:r w:rsidR="00705608">
        <w:rPr>
          <w:rFonts w:asciiTheme="majorHAnsi" w:hAnsiTheme="majorHAnsi" w:cs="Calibri"/>
        </w:rPr>
        <w:t xml:space="preserve">(e.g., Grand Challenge course) </w:t>
      </w:r>
      <w:r w:rsidR="009045FA">
        <w:rPr>
          <w:rFonts w:asciiTheme="majorHAnsi" w:hAnsiTheme="majorHAnsi" w:cs="Calibri"/>
        </w:rPr>
        <w:t xml:space="preserve">in order to attract </w:t>
      </w:r>
      <w:r w:rsidR="00705608">
        <w:rPr>
          <w:rFonts w:asciiTheme="majorHAnsi" w:hAnsiTheme="majorHAnsi" w:cs="Calibri"/>
        </w:rPr>
        <w:t xml:space="preserve">more </w:t>
      </w:r>
      <w:r w:rsidR="009045FA">
        <w:rPr>
          <w:rFonts w:asciiTheme="majorHAnsi" w:hAnsiTheme="majorHAnsi" w:cs="Calibri"/>
        </w:rPr>
        <w:t xml:space="preserve">students from across the campus. There was also discussion about the need to </w:t>
      </w:r>
      <w:proofErr w:type="spellStart"/>
      <w:r w:rsidR="009045FA">
        <w:rPr>
          <w:rFonts w:asciiTheme="majorHAnsi" w:hAnsiTheme="majorHAnsi" w:cs="Calibri"/>
        </w:rPr>
        <w:t>restrategize</w:t>
      </w:r>
      <w:proofErr w:type="spellEnd"/>
      <w:r w:rsidR="009045FA">
        <w:rPr>
          <w:rFonts w:asciiTheme="majorHAnsi" w:hAnsiTheme="majorHAnsi" w:cs="Calibri"/>
        </w:rPr>
        <w:t xml:space="preserve"> our recruitment efforts, to align program development and faculty hire with the market needs and state priorities, to reconcile our mission as both a </w:t>
      </w:r>
      <w:proofErr w:type="gramStart"/>
      <w:r w:rsidR="009045FA">
        <w:rPr>
          <w:rFonts w:asciiTheme="majorHAnsi" w:hAnsiTheme="majorHAnsi" w:cs="Calibri"/>
        </w:rPr>
        <w:t>land-grant</w:t>
      </w:r>
      <w:proofErr w:type="gramEnd"/>
      <w:r w:rsidR="009045FA">
        <w:rPr>
          <w:rFonts w:asciiTheme="majorHAnsi" w:hAnsiTheme="majorHAnsi" w:cs="Calibri"/>
        </w:rPr>
        <w:t xml:space="preserve"> and an elite public AAU institution, and to engage FPC’s Long Range Planning Committee in conversation about these issues.</w:t>
      </w:r>
    </w:p>
    <w:p w14:paraId="7EFF703F" w14:textId="7107C3DB" w:rsidR="009D5F60" w:rsidRPr="004567B8" w:rsidRDefault="00367F4C" w:rsidP="004567B8">
      <w:pPr>
        <w:pStyle w:val="ListParagraph"/>
        <w:numPr>
          <w:ilvl w:val="0"/>
          <w:numId w:val="8"/>
        </w:numPr>
        <w:tabs>
          <w:tab w:val="left" w:pos="8640"/>
        </w:tabs>
        <w:rPr>
          <w:rFonts w:asciiTheme="majorHAnsi" w:hAnsiTheme="majorHAnsi"/>
        </w:rPr>
      </w:pPr>
      <w:r>
        <w:rPr>
          <w:rFonts w:asciiTheme="majorHAnsi" w:hAnsiTheme="majorHAnsi"/>
          <w:b/>
        </w:rPr>
        <w:t xml:space="preserve">Budget Models and Budget Decisions: </w:t>
      </w:r>
      <w:r>
        <w:rPr>
          <w:rFonts w:asciiTheme="majorHAnsi" w:hAnsiTheme="majorHAnsi"/>
        </w:rPr>
        <w:t xml:space="preserve">There was some discussion about </w:t>
      </w:r>
      <w:r w:rsidR="004F5B3F">
        <w:rPr>
          <w:rFonts w:asciiTheme="majorHAnsi" w:hAnsiTheme="majorHAnsi"/>
        </w:rPr>
        <w:t xml:space="preserve">whether </w:t>
      </w:r>
      <w:r>
        <w:rPr>
          <w:rFonts w:asciiTheme="majorHAnsi" w:hAnsiTheme="majorHAnsi"/>
        </w:rPr>
        <w:t xml:space="preserve">the university </w:t>
      </w:r>
      <w:r w:rsidR="004F5B3F">
        <w:rPr>
          <w:rFonts w:asciiTheme="majorHAnsi" w:hAnsiTheme="majorHAnsi"/>
        </w:rPr>
        <w:t xml:space="preserve">will inaugurate a </w:t>
      </w:r>
      <w:r w:rsidR="002B0DFE">
        <w:rPr>
          <w:rFonts w:asciiTheme="majorHAnsi" w:hAnsiTheme="majorHAnsi"/>
        </w:rPr>
        <w:t xml:space="preserve">new </w:t>
      </w:r>
      <w:r w:rsidR="004F5B3F">
        <w:rPr>
          <w:rFonts w:asciiTheme="majorHAnsi" w:hAnsiTheme="majorHAnsi"/>
        </w:rPr>
        <w:t>budget model with the arrival of its new president from Cornell. The vibe is that the current budget model is likely to c</w:t>
      </w:r>
      <w:r w:rsidR="00B56F7C">
        <w:rPr>
          <w:rFonts w:asciiTheme="majorHAnsi" w:hAnsiTheme="majorHAnsi"/>
        </w:rPr>
        <w:t xml:space="preserve">ontinue, at least for the </w:t>
      </w:r>
      <w:proofErr w:type="spellStart"/>
      <w:r w:rsidR="00B56F7C">
        <w:rPr>
          <w:rFonts w:asciiTheme="majorHAnsi" w:hAnsiTheme="majorHAnsi"/>
        </w:rPr>
        <w:t>forsee</w:t>
      </w:r>
      <w:r w:rsidR="004F5B3F">
        <w:rPr>
          <w:rFonts w:asciiTheme="majorHAnsi" w:hAnsiTheme="majorHAnsi"/>
        </w:rPr>
        <w:t>able</w:t>
      </w:r>
      <w:proofErr w:type="spellEnd"/>
      <w:r w:rsidR="004F5B3F">
        <w:rPr>
          <w:rFonts w:asciiTheme="majorHAnsi" w:hAnsiTheme="majorHAnsi"/>
        </w:rPr>
        <w:t xml:space="preserve"> future. </w:t>
      </w:r>
      <w:r w:rsidR="002B0DFE">
        <w:rPr>
          <w:rFonts w:asciiTheme="majorHAnsi" w:hAnsiTheme="majorHAnsi"/>
        </w:rPr>
        <w:t xml:space="preserve">This means that no major changes are coming in the next year or two. </w:t>
      </w:r>
      <w:r w:rsidR="00B56F7C">
        <w:rPr>
          <w:rFonts w:asciiTheme="majorHAnsi" w:hAnsiTheme="majorHAnsi"/>
        </w:rPr>
        <w:t>An interesting new budget model called “Unleashing the Deans</w:t>
      </w:r>
      <w:r w:rsidR="005F1B5D">
        <w:rPr>
          <w:rFonts w:asciiTheme="majorHAnsi" w:hAnsiTheme="majorHAnsi"/>
        </w:rPr>
        <w:t>”</w:t>
      </w:r>
      <w:r w:rsidR="00B56F7C">
        <w:rPr>
          <w:rFonts w:asciiTheme="majorHAnsi" w:hAnsiTheme="majorHAnsi"/>
        </w:rPr>
        <w:t xml:space="preserve"> </w:t>
      </w:r>
      <w:r w:rsidR="00B56F7C">
        <w:rPr>
          <w:rFonts w:asciiTheme="majorHAnsi" w:hAnsiTheme="majorHAnsi" w:cs="Calibri"/>
        </w:rPr>
        <w:t>(</w:t>
      </w:r>
      <w:hyperlink r:id="rId9" w:history="1">
        <w:r w:rsidR="00B56F7C" w:rsidRPr="0056556E">
          <w:rPr>
            <w:rFonts w:ascii="Calibri" w:hAnsi="Calibri" w:cs="Calibri"/>
            <w:color w:val="0B4CB4"/>
            <w:u w:val="single" w:color="0B4CB4"/>
          </w:rPr>
          <w:t>http://chronicle.com/article/Colleges-Unleash-the-Deans/151711/</w:t>
        </w:r>
      </w:hyperlink>
      <w:r w:rsidR="00B56F7C">
        <w:rPr>
          <w:rFonts w:asciiTheme="majorHAnsi" w:hAnsiTheme="majorHAnsi"/>
        </w:rPr>
        <w:t xml:space="preserve">), recently </w:t>
      </w:r>
      <w:r w:rsidR="002B0DFE">
        <w:rPr>
          <w:rFonts w:asciiTheme="majorHAnsi" w:hAnsiTheme="majorHAnsi"/>
        </w:rPr>
        <w:t>reported in</w:t>
      </w:r>
      <w:r w:rsidR="00B56F7C">
        <w:rPr>
          <w:rFonts w:asciiTheme="majorHAnsi" w:hAnsiTheme="majorHAnsi"/>
        </w:rPr>
        <w:t xml:space="preserve"> the Chronicle of Higher Education, </w:t>
      </w:r>
      <w:proofErr w:type="gramStart"/>
      <w:r w:rsidR="00B56F7C">
        <w:rPr>
          <w:rFonts w:asciiTheme="majorHAnsi" w:hAnsiTheme="majorHAnsi"/>
        </w:rPr>
        <w:t>was</w:t>
      </w:r>
      <w:proofErr w:type="gramEnd"/>
      <w:r w:rsidR="00B56F7C">
        <w:rPr>
          <w:rFonts w:asciiTheme="majorHAnsi" w:hAnsiTheme="majorHAnsi"/>
        </w:rPr>
        <w:t xml:space="preserve"> brought to the committee’s attention. </w:t>
      </w:r>
      <w:r w:rsidR="005F1B5D">
        <w:rPr>
          <w:rFonts w:asciiTheme="majorHAnsi" w:hAnsiTheme="majorHAnsi"/>
        </w:rPr>
        <w:t xml:space="preserve">The model promotes decentralization of budgets, </w:t>
      </w:r>
      <w:r w:rsidR="00786AC2">
        <w:rPr>
          <w:rFonts w:asciiTheme="majorHAnsi" w:hAnsiTheme="majorHAnsi"/>
        </w:rPr>
        <w:t>with each Dean getting a lump of money to run his/her college in ways s/he sees fit</w:t>
      </w:r>
      <w:r w:rsidR="005F1B5D">
        <w:rPr>
          <w:rFonts w:asciiTheme="majorHAnsi" w:hAnsiTheme="majorHAnsi"/>
        </w:rPr>
        <w:t xml:space="preserve">. </w:t>
      </w:r>
      <w:r w:rsidR="0054423A">
        <w:rPr>
          <w:rFonts w:asciiTheme="majorHAnsi" w:hAnsiTheme="majorHAnsi"/>
        </w:rPr>
        <w:t>On a side note, t</w:t>
      </w:r>
      <w:r w:rsidR="005F1B5D">
        <w:rPr>
          <w:rFonts w:asciiTheme="majorHAnsi" w:hAnsiTheme="majorHAnsi"/>
        </w:rPr>
        <w:t xml:space="preserve">he university is launching a </w:t>
      </w:r>
      <w:r w:rsidR="005F1B5D">
        <w:rPr>
          <w:rFonts w:asciiTheme="majorHAnsi" w:hAnsiTheme="majorHAnsi"/>
        </w:rPr>
        <w:lastRenderedPageBreak/>
        <w:t xml:space="preserve">3.2 </w:t>
      </w:r>
      <w:proofErr w:type="gramStart"/>
      <w:r w:rsidR="005F1B5D">
        <w:rPr>
          <w:rFonts w:asciiTheme="majorHAnsi" w:hAnsiTheme="majorHAnsi"/>
        </w:rPr>
        <w:t>billion development</w:t>
      </w:r>
      <w:proofErr w:type="gramEnd"/>
      <w:r w:rsidR="005F1B5D">
        <w:rPr>
          <w:rFonts w:asciiTheme="majorHAnsi" w:hAnsiTheme="majorHAnsi"/>
        </w:rPr>
        <w:t xml:space="preserve"> campaign aimed at enhancing its financial </w:t>
      </w:r>
      <w:r w:rsidR="0054423A">
        <w:rPr>
          <w:rFonts w:asciiTheme="majorHAnsi" w:hAnsiTheme="majorHAnsi"/>
        </w:rPr>
        <w:t>health and academic competitiveness.</w:t>
      </w:r>
    </w:p>
    <w:p w14:paraId="5713CEC7" w14:textId="4EB6C625" w:rsidR="00367F4C" w:rsidRDefault="009D5F60" w:rsidP="006A502C">
      <w:pPr>
        <w:pStyle w:val="ListParagraph"/>
        <w:numPr>
          <w:ilvl w:val="0"/>
          <w:numId w:val="8"/>
        </w:numPr>
        <w:tabs>
          <w:tab w:val="left" w:pos="8640"/>
        </w:tabs>
        <w:rPr>
          <w:rFonts w:asciiTheme="majorHAnsi" w:hAnsiTheme="majorHAnsi"/>
        </w:rPr>
      </w:pPr>
      <w:r w:rsidRPr="00805401">
        <w:rPr>
          <w:rFonts w:asciiTheme="majorHAnsi" w:hAnsiTheme="majorHAnsi"/>
          <w:b/>
        </w:rPr>
        <w:t xml:space="preserve">Merit Process and Outcomes:  </w:t>
      </w:r>
      <w:r w:rsidR="00D05302" w:rsidRPr="00805401">
        <w:rPr>
          <w:rFonts w:asciiTheme="majorHAnsi" w:hAnsiTheme="majorHAnsi"/>
        </w:rPr>
        <w:t>We had a discussion about the merit al</w:t>
      </w:r>
      <w:r w:rsidR="006A502C">
        <w:rPr>
          <w:rFonts w:asciiTheme="majorHAnsi" w:hAnsiTheme="majorHAnsi"/>
        </w:rPr>
        <w:t xml:space="preserve">location process in the college. It was noted that while each unit has a merit policy and a process for awarding merit, there is considerable variation across units in merit distribution. It was suggested </w:t>
      </w:r>
      <w:proofErr w:type="gramStart"/>
      <w:r w:rsidR="006A502C">
        <w:rPr>
          <w:rFonts w:asciiTheme="majorHAnsi" w:hAnsiTheme="majorHAnsi"/>
        </w:rPr>
        <w:t>that g</w:t>
      </w:r>
      <w:r w:rsidR="007D2611">
        <w:rPr>
          <w:rFonts w:asciiTheme="majorHAnsi" w:hAnsiTheme="majorHAnsi"/>
        </w:rPr>
        <w:t>rievance regarding merit awards</w:t>
      </w:r>
      <w:r w:rsidR="006A502C">
        <w:rPr>
          <w:rFonts w:asciiTheme="majorHAnsi" w:hAnsiTheme="majorHAnsi"/>
        </w:rPr>
        <w:t xml:space="preserve"> be handled by</w:t>
      </w:r>
      <w:r w:rsidR="00FB4FC7">
        <w:rPr>
          <w:rFonts w:asciiTheme="majorHAnsi" w:hAnsiTheme="majorHAnsi"/>
        </w:rPr>
        <w:t xml:space="preserve"> the Faculty Affairs Committee</w:t>
      </w:r>
      <w:proofErr w:type="gramEnd"/>
      <w:r w:rsidR="00FB4FC7">
        <w:rPr>
          <w:rFonts w:asciiTheme="majorHAnsi" w:hAnsiTheme="majorHAnsi"/>
        </w:rPr>
        <w:t>.</w:t>
      </w:r>
    </w:p>
    <w:p w14:paraId="51F18CBD" w14:textId="76A15741" w:rsidR="004567B8" w:rsidRPr="00D60555" w:rsidRDefault="004567B8" w:rsidP="00D60555">
      <w:pPr>
        <w:pStyle w:val="ListParagraph"/>
        <w:numPr>
          <w:ilvl w:val="0"/>
          <w:numId w:val="8"/>
        </w:numPr>
        <w:tabs>
          <w:tab w:val="left" w:pos="8640"/>
        </w:tabs>
        <w:rPr>
          <w:rFonts w:asciiTheme="majorHAnsi" w:hAnsiTheme="majorHAnsi"/>
        </w:rPr>
      </w:pPr>
      <w:r w:rsidRPr="00D60555">
        <w:rPr>
          <w:rFonts w:asciiTheme="majorHAnsi" w:hAnsiTheme="majorHAnsi"/>
          <w:b/>
        </w:rPr>
        <w:t>Academic Analytics (AA)</w:t>
      </w:r>
      <w:r w:rsidR="00D60555">
        <w:rPr>
          <w:rFonts w:asciiTheme="majorHAnsi" w:hAnsiTheme="majorHAnsi"/>
          <w:b/>
        </w:rPr>
        <w:t xml:space="preserve"> as a Measure of Faculty Productivity</w:t>
      </w:r>
      <w:r w:rsidRPr="00D60555">
        <w:rPr>
          <w:rFonts w:asciiTheme="majorHAnsi" w:hAnsiTheme="majorHAnsi"/>
        </w:rPr>
        <w:t xml:space="preserve">: </w:t>
      </w:r>
      <w:r w:rsidR="00CA153F" w:rsidRPr="00D60555">
        <w:rPr>
          <w:rFonts w:asciiTheme="majorHAnsi" w:hAnsiTheme="majorHAnsi"/>
        </w:rPr>
        <w:t xml:space="preserve">The </w:t>
      </w:r>
      <w:proofErr w:type="gramStart"/>
      <w:r w:rsidR="00CA153F" w:rsidRPr="00D60555">
        <w:rPr>
          <w:rFonts w:asciiTheme="majorHAnsi" w:hAnsiTheme="majorHAnsi"/>
        </w:rPr>
        <w:t>university</w:t>
      </w:r>
      <w:proofErr w:type="gramEnd"/>
      <w:r w:rsidR="00CA153F" w:rsidRPr="00D60555">
        <w:rPr>
          <w:rFonts w:asciiTheme="majorHAnsi" w:hAnsiTheme="majorHAnsi"/>
        </w:rPr>
        <w:t xml:space="preserve"> has purc</w:t>
      </w:r>
      <w:r w:rsidR="00883F1A">
        <w:rPr>
          <w:rFonts w:asciiTheme="majorHAnsi" w:hAnsiTheme="majorHAnsi"/>
        </w:rPr>
        <w:t>hased</w:t>
      </w:r>
      <w:r w:rsidR="00FB4FC7" w:rsidRPr="00D60555">
        <w:rPr>
          <w:rFonts w:asciiTheme="majorHAnsi" w:hAnsiTheme="majorHAnsi"/>
        </w:rPr>
        <w:t xml:space="preserve"> Academic Analytics (AA). AA data</w:t>
      </w:r>
      <w:r w:rsidR="00CA153F" w:rsidRPr="00D60555">
        <w:rPr>
          <w:rFonts w:asciiTheme="majorHAnsi" w:hAnsiTheme="majorHAnsi"/>
        </w:rPr>
        <w:t xml:space="preserve"> </w:t>
      </w:r>
      <w:r w:rsidR="00FB4FC7" w:rsidRPr="00D60555">
        <w:rPr>
          <w:rFonts w:asciiTheme="majorHAnsi" w:hAnsiTheme="majorHAnsi" w:cs="Calibri"/>
        </w:rPr>
        <w:t xml:space="preserve">suggest that COE faculty compared very well with other COE faculty across the country in most measures of faculty productivity ranging from research funding to publication. Areas in the greatest need of improvement, especially when compared with </w:t>
      </w:r>
      <w:r w:rsidR="00427C29" w:rsidRPr="00D60555">
        <w:rPr>
          <w:rFonts w:asciiTheme="majorHAnsi" w:hAnsiTheme="majorHAnsi" w:cs="Calibri"/>
        </w:rPr>
        <w:t>COE</w:t>
      </w:r>
      <w:r w:rsidR="00FB4FC7" w:rsidRPr="00D60555">
        <w:rPr>
          <w:rFonts w:asciiTheme="majorHAnsi" w:hAnsiTheme="majorHAnsi" w:cs="Calibri"/>
        </w:rPr>
        <w:t xml:space="preserve"> peer</w:t>
      </w:r>
      <w:r w:rsidR="00427C29" w:rsidRPr="00D60555">
        <w:rPr>
          <w:rFonts w:asciiTheme="majorHAnsi" w:hAnsiTheme="majorHAnsi" w:cs="Calibri"/>
        </w:rPr>
        <w:t>s in</w:t>
      </w:r>
      <w:r w:rsidR="00FB4FC7" w:rsidRPr="00D60555">
        <w:rPr>
          <w:rFonts w:asciiTheme="majorHAnsi" w:hAnsiTheme="majorHAnsi" w:cs="Calibri"/>
        </w:rPr>
        <w:t xml:space="preserve"> AAU institutions, are citation and national awards. </w:t>
      </w:r>
      <w:r w:rsidR="002E59B5" w:rsidRPr="00D60555">
        <w:rPr>
          <w:rFonts w:asciiTheme="majorHAnsi" w:hAnsiTheme="majorHAnsi" w:cs="Calibri"/>
        </w:rPr>
        <w:t>We had a d</w:t>
      </w:r>
      <w:r w:rsidR="00FB4FC7" w:rsidRPr="00D60555">
        <w:rPr>
          <w:rFonts w:asciiTheme="majorHAnsi" w:hAnsiTheme="majorHAnsi" w:cs="Calibri"/>
        </w:rPr>
        <w:t xml:space="preserve">iscussion regarding the implications of these data for tenure and promotion, CRIF, merit, and long range planning. It was </w:t>
      </w:r>
      <w:r w:rsidR="009122D2" w:rsidRPr="00D60555">
        <w:rPr>
          <w:rFonts w:asciiTheme="majorHAnsi" w:hAnsiTheme="majorHAnsi" w:cs="Calibri"/>
        </w:rPr>
        <w:t xml:space="preserve">noted that AA data </w:t>
      </w:r>
      <w:proofErr w:type="gramStart"/>
      <w:r w:rsidR="009122D2" w:rsidRPr="00D60555">
        <w:rPr>
          <w:rFonts w:asciiTheme="majorHAnsi" w:hAnsiTheme="majorHAnsi" w:cs="Calibri"/>
        </w:rPr>
        <w:t>can</w:t>
      </w:r>
      <w:proofErr w:type="gramEnd"/>
      <w:r w:rsidR="009122D2" w:rsidRPr="00D60555">
        <w:rPr>
          <w:rFonts w:asciiTheme="majorHAnsi" w:hAnsiTheme="majorHAnsi" w:cs="Calibri"/>
        </w:rPr>
        <w:t xml:space="preserve"> be informative at the college level, but perhaps not particularly helpful at the individual faculty level. Concerns were raised regarding AA’s validity, value, relevance, and application. It was </w:t>
      </w:r>
      <w:r w:rsidR="00FB4FC7" w:rsidRPr="00D60555">
        <w:rPr>
          <w:rFonts w:asciiTheme="majorHAnsi" w:hAnsiTheme="majorHAnsi" w:cs="Calibri"/>
        </w:rPr>
        <w:t xml:space="preserve">suggested that </w:t>
      </w:r>
      <w:proofErr w:type="gramStart"/>
      <w:r w:rsidR="00FB4FC7" w:rsidRPr="00D60555">
        <w:rPr>
          <w:rFonts w:asciiTheme="majorHAnsi" w:hAnsiTheme="majorHAnsi" w:cs="Calibri"/>
        </w:rPr>
        <w:t>these issues also be investigate</w:t>
      </w:r>
      <w:r w:rsidR="00883F1A">
        <w:rPr>
          <w:rFonts w:asciiTheme="majorHAnsi" w:hAnsiTheme="majorHAnsi" w:cs="Calibri"/>
        </w:rPr>
        <w:t>d by other FPC committees such as</w:t>
      </w:r>
      <w:r w:rsidR="00FB4FC7" w:rsidRPr="00D60555">
        <w:rPr>
          <w:rFonts w:asciiTheme="majorHAnsi" w:hAnsiTheme="majorHAnsi" w:cs="Calibri"/>
        </w:rPr>
        <w:t xml:space="preserve"> Long Range Planning, Faculty Affairs, </w:t>
      </w:r>
      <w:r w:rsidR="00883F1A">
        <w:rPr>
          <w:rFonts w:asciiTheme="majorHAnsi" w:hAnsiTheme="majorHAnsi" w:cs="Calibri"/>
        </w:rPr>
        <w:t xml:space="preserve">and </w:t>
      </w:r>
      <w:r w:rsidR="00F76B0A">
        <w:rPr>
          <w:rFonts w:asciiTheme="majorHAnsi" w:hAnsiTheme="majorHAnsi" w:cs="Calibri"/>
        </w:rPr>
        <w:t>Tenure and Promotion</w:t>
      </w:r>
      <w:proofErr w:type="gramEnd"/>
      <w:r w:rsidR="00FB4FC7" w:rsidRPr="00D60555">
        <w:rPr>
          <w:rFonts w:asciiTheme="majorHAnsi" w:hAnsiTheme="majorHAnsi" w:cs="Calibri"/>
        </w:rPr>
        <w:t>.</w:t>
      </w:r>
    </w:p>
    <w:p w14:paraId="2DF07C84" w14:textId="4B541315" w:rsidR="00367F4C" w:rsidRPr="00805401" w:rsidRDefault="00F06FE5" w:rsidP="00367F4C">
      <w:pPr>
        <w:pStyle w:val="ListParagraph"/>
        <w:numPr>
          <w:ilvl w:val="0"/>
          <w:numId w:val="8"/>
        </w:numPr>
        <w:tabs>
          <w:tab w:val="left" w:pos="8640"/>
        </w:tabs>
        <w:rPr>
          <w:rFonts w:asciiTheme="majorHAnsi" w:hAnsiTheme="majorHAnsi"/>
        </w:rPr>
      </w:pPr>
      <w:r w:rsidRPr="00F06FE5">
        <w:rPr>
          <w:rFonts w:asciiTheme="majorHAnsi" w:hAnsiTheme="majorHAnsi"/>
          <w:b/>
        </w:rPr>
        <w:t>ID</w:t>
      </w:r>
      <w:r>
        <w:rPr>
          <w:rFonts w:asciiTheme="majorHAnsi" w:hAnsiTheme="majorHAnsi"/>
          <w:b/>
        </w:rPr>
        <w:t>C</w:t>
      </w:r>
      <w:r w:rsidRPr="00F06FE5">
        <w:rPr>
          <w:rFonts w:asciiTheme="majorHAnsi" w:hAnsiTheme="majorHAnsi"/>
          <w:b/>
        </w:rPr>
        <w:t xml:space="preserve"> and Salary Savings</w:t>
      </w:r>
      <w:r>
        <w:rPr>
          <w:rFonts w:asciiTheme="majorHAnsi" w:hAnsiTheme="majorHAnsi"/>
        </w:rPr>
        <w:t>. We did not discuss this matter because ea</w:t>
      </w:r>
      <w:r w:rsidR="00367F4C" w:rsidRPr="00805401">
        <w:rPr>
          <w:rFonts w:asciiTheme="majorHAnsi" w:hAnsiTheme="majorHAnsi"/>
        </w:rPr>
        <w:t xml:space="preserve">ch school and the college </w:t>
      </w:r>
      <w:r>
        <w:rPr>
          <w:rFonts w:asciiTheme="majorHAnsi" w:hAnsiTheme="majorHAnsi"/>
        </w:rPr>
        <w:t>now have</w:t>
      </w:r>
      <w:r w:rsidR="00367F4C" w:rsidRPr="00805401">
        <w:rPr>
          <w:rFonts w:asciiTheme="majorHAnsi" w:hAnsiTheme="majorHAnsi"/>
        </w:rPr>
        <w:t xml:space="preserve"> policies in place for Salary Savings and </w:t>
      </w:r>
      <w:r>
        <w:rPr>
          <w:rFonts w:asciiTheme="majorHAnsi" w:hAnsiTheme="majorHAnsi"/>
        </w:rPr>
        <w:t>IDC. Two web documents created by last year’s BAC committee are available</w:t>
      </w:r>
      <w:r w:rsidRPr="00F06FE5">
        <w:rPr>
          <w:rFonts w:asciiTheme="majorHAnsi" w:hAnsiTheme="majorHAnsi"/>
        </w:rPr>
        <w:t xml:space="preserve"> </w:t>
      </w:r>
      <w:r w:rsidR="008B01B1">
        <w:rPr>
          <w:rFonts w:asciiTheme="majorHAnsi" w:hAnsiTheme="majorHAnsi"/>
        </w:rPr>
        <w:t xml:space="preserve">for viewing and comments: </w:t>
      </w:r>
      <w:r w:rsidRPr="00805401">
        <w:rPr>
          <w:rFonts w:asciiTheme="majorHAnsi" w:hAnsiTheme="majorHAnsi"/>
        </w:rPr>
        <w:t>Guideli</w:t>
      </w:r>
      <w:r>
        <w:rPr>
          <w:rFonts w:asciiTheme="majorHAnsi" w:hAnsiTheme="majorHAnsi"/>
        </w:rPr>
        <w:t>nes for IDC and Salary Savings P</w:t>
      </w:r>
      <w:r w:rsidRPr="00805401">
        <w:rPr>
          <w:rFonts w:asciiTheme="majorHAnsi" w:hAnsiTheme="majorHAnsi"/>
        </w:rPr>
        <w:t>olicies</w:t>
      </w:r>
      <w:r>
        <w:rPr>
          <w:rFonts w:asciiTheme="majorHAnsi" w:hAnsiTheme="majorHAnsi"/>
        </w:rPr>
        <w:t xml:space="preserve"> (</w:t>
      </w:r>
      <w:hyperlink r:id="rId10" w:history="1">
        <w:r w:rsidRPr="00805401">
          <w:rPr>
            <w:rStyle w:val="Hyperlink"/>
            <w:rFonts w:asciiTheme="majorHAnsi" w:hAnsiTheme="majorHAnsi"/>
          </w:rPr>
          <w:t>http://education.ufl.edu/faculty-policy/policies/</w:t>
        </w:r>
      </w:hyperlink>
      <w:r>
        <w:rPr>
          <w:rStyle w:val="Hyperlink"/>
          <w:rFonts w:asciiTheme="majorHAnsi" w:hAnsiTheme="majorHAnsi"/>
        </w:rPr>
        <w:t xml:space="preserve">) </w:t>
      </w:r>
      <w:r>
        <w:rPr>
          <w:rFonts w:asciiTheme="majorHAnsi" w:hAnsiTheme="majorHAnsi"/>
        </w:rPr>
        <w:t xml:space="preserve">and </w:t>
      </w:r>
      <w:r w:rsidR="008B01B1">
        <w:rPr>
          <w:rFonts w:asciiTheme="majorHAnsi" w:hAnsiTheme="majorHAnsi"/>
        </w:rPr>
        <w:t>Approved FPC policy Regarding C</w:t>
      </w:r>
      <w:r w:rsidRPr="00805401">
        <w:rPr>
          <w:rFonts w:asciiTheme="majorHAnsi" w:hAnsiTheme="majorHAnsi"/>
        </w:rPr>
        <w:t>rea</w:t>
      </w:r>
      <w:r w:rsidR="008B01B1">
        <w:rPr>
          <w:rFonts w:asciiTheme="majorHAnsi" w:hAnsiTheme="majorHAnsi"/>
        </w:rPr>
        <w:t>tion of IDC and Salary Savings Policies by Each School and the C</w:t>
      </w:r>
      <w:r w:rsidRPr="00805401">
        <w:rPr>
          <w:rFonts w:asciiTheme="majorHAnsi" w:hAnsiTheme="majorHAnsi"/>
        </w:rPr>
        <w:t>ollege</w:t>
      </w:r>
      <w:r>
        <w:rPr>
          <w:rFonts w:asciiTheme="majorHAnsi" w:hAnsiTheme="majorHAnsi"/>
        </w:rPr>
        <w:t xml:space="preserve"> (</w:t>
      </w:r>
      <w:hyperlink r:id="rId11" w:history="1">
        <w:r w:rsidRPr="00805401">
          <w:rPr>
            <w:rStyle w:val="Hyperlink"/>
            <w:rFonts w:asciiTheme="majorHAnsi" w:hAnsiTheme="majorHAnsi"/>
          </w:rPr>
          <w:t>http://education.ufl.edu/faculty-policy/policies/</w:t>
        </w:r>
      </w:hyperlink>
      <w:r>
        <w:rPr>
          <w:rStyle w:val="Hyperlink"/>
          <w:rFonts w:asciiTheme="majorHAnsi" w:hAnsiTheme="majorHAnsi"/>
        </w:rPr>
        <w:t>)</w:t>
      </w:r>
      <w:r w:rsidR="008B01B1">
        <w:rPr>
          <w:rFonts w:asciiTheme="majorHAnsi" w:hAnsiTheme="majorHAnsi"/>
        </w:rPr>
        <w:t>.</w:t>
      </w:r>
    </w:p>
    <w:p w14:paraId="6C23B571" w14:textId="77777777" w:rsidR="00F04E16" w:rsidRPr="00805401" w:rsidRDefault="00F04E16" w:rsidP="00F04E16">
      <w:pPr>
        <w:tabs>
          <w:tab w:val="left" w:pos="8640"/>
        </w:tabs>
        <w:rPr>
          <w:rFonts w:asciiTheme="majorHAnsi" w:hAnsiTheme="majorHAnsi"/>
          <w:b/>
          <w:u w:val="single"/>
        </w:rPr>
      </w:pPr>
    </w:p>
    <w:p w14:paraId="30F49A86" w14:textId="77777777" w:rsidR="009129B6" w:rsidRPr="00805401" w:rsidRDefault="009129B6" w:rsidP="00F04E16">
      <w:pPr>
        <w:tabs>
          <w:tab w:val="left" w:pos="8640"/>
        </w:tabs>
        <w:rPr>
          <w:rFonts w:asciiTheme="majorHAnsi" w:hAnsiTheme="majorHAnsi"/>
          <w:b/>
          <w:u w:val="single"/>
        </w:rPr>
      </w:pPr>
      <w:r w:rsidRPr="00805401">
        <w:rPr>
          <w:rFonts w:asciiTheme="majorHAnsi" w:hAnsiTheme="majorHAnsi"/>
          <w:b/>
          <w:u w:val="single"/>
        </w:rPr>
        <w:t>Recommendations for Next Year’s Committee</w:t>
      </w:r>
    </w:p>
    <w:p w14:paraId="32D8E4DE" w14:textId="77777777" w:rsidR="009129B6" w:rsidRPr="00805401" w:rsidRDefault="009129B6" w:rsidP="00F04E16">
      <w:pPr>
        <w:tabs>
          <w:tab w:val="left" w:pos="8640"/>
        </w:tabs>
        <w:rPr>
          <w:rFonts w:asciiTheme="majorHAnsi" w:hAnsiTheme="majorHAnsi"/>
        </w:rPr>
      </w:pPr>
    </w:p>
    <w:tbl>
      <w:tblPr>
        <w:tblStyle w:val="TableGrid"/>
        <w:tblW w:w="0" w:type="auto"/>
        <w:tblLook w:val="04A0" w:firstRow="1" w:lastRow="0" w:firstColumn="1" w:lastColumn="0" w:noHBand="0" w:noVBand="1"/>
      </w:tblPr>
      <w:tblGrid>
        <w:gridCol w:w="3342"/>
        <w:gridCol w:w="3342"/>
        <w:gridCol w:w="2604"/>
      </w:tblGrid>
      <w:tr w:rsidR="009129B6" w:rsidRPr="00805401" w14:paraId="3149E9D5" w14:textId="77777777" w:rsidTr="00F04E16">
        <w:tc>
          <w:tcPr>
            <w:tcW w:w="3342" w:type="dxa"/>
          </w:tcPr>
          <w:p w14:paraId="45D0D87D" w14:textId="77777777" w:rsidR="009129B6" w:rsidRPr="00805401" w:rsidRDefault="00A16583" w:rsidP="00F04E16">
            <w:pPr>
              <w:tabs>
                <w:tab w:val="left" w:pos="8640"/>
              </w:tabs>
              <w:rPr>
                <w:rFonts w:asciiTheme="majorHAnsi" w:hAnsiTheme="majorHAnsi"/>
                <w:b/>
              </w:rPr>
            </w:pPr>
            <w:r w:rsidRPr="00805401">
              <w:rPr>
                <w:rFonts w:asciiTheme="majorHAnsi" w:hAnsiTheme="majorHAnsi"/>
                <w:b/>
              </w:rPr>
              <w:t>Key g</w:t>
            </w:r>
            <w:r w:rsidR="009129B6" w:rsidRPr="00805401">
              <w:rPr>
                <w:rFonts w:asciiTheme="majorHAnsi" w:hAnsiTheme="majorHAnsi"/>
                <w:b/>
              </w:rPr>
              <w:t>oal</w:t>
            </w:r>
            <w:r w:rsidR="00D648BB" w:rsidRPr="00805401">
              <w:rPr>
                <w:rFonts w:asciiTheme="majorHAnsi" w:hAnsiTheme="majorHAnsi"/>
                <w:b/>
              </w:rPr>
              <w:t>s</w:t>
            </w:r>
          </w:p>
        </w:tc>
        <w:tc>
          <w:tcPr>
            <w:tcW w:w="3342" w:type="dxa"/>
          </w:tcPr>
          <w:p w14:paraId="780E03F4" w14:textId="77777777" w:rsidR="009129B6" w:rsidRPr="00805401" w:rsidRDefault="00A16583" w:rsidP="00F04E16">
            <w:pPr>
              <w:tabs>
                <w:tab w:val="left" w:pos="8640"/>
              </w:tabs>
              <w:rPr>
                <w:rFonts w:asciiTheme="majorHAnsi" w:hAnsiTheme="majorHAnsi"/>
                <w:b/>
              </w:rPr>
            </w:pPr>
            <w:r w:rsidRPr="00805401">
              <w:rPr>
                <w:rFonts w:asciiTheme="majorHAnsi" w:hAnsiTheme="majorHAnsi"/>
                <w:b/>
              </w:rPr>
              <w:t>Key t</w:t>
            </w:r>
            <w:r w:rsidR="009129B6" w:rsidRPr="00805401">
              <w:rPr>
                <w:rFonts w:asciiTheme="majorHAnsi" w:hAnsiTheme="majorHAnsi"/>
                <w:b/>
              </w:rPr>
              <w:t>asks connected to the goal</w:t>
            </w:r>
          </w:p>
        </w:tc>
        <w:tc>
          <w:tcPr>
            <w:tcW w:w="2604" w:type="dxa"/>
          </w:tcPr>
          <w:p w14:paraId="4CBAB1F5" w14:textId="77777777" w:rsidR="009129B6" w:rsidRPr="00805401" w:rsidRDefault="009129B6" w:rsidP="00F04E16">
            <w:pPr>
              <w:tabs>
                <w:tab w:val="left" w:pos="8640"/>
              </w:tabs>
              <w:rPr>
                <w:rFonts w:asciiTheme="majorHAnsi" w:hAnsiTheme="majorHAnsi"/>
                <w:b/>
              </w:rPr>
            </w:pPr>
            <w:r w:rsidRPr="00805401">
              <w:rPr>
                <w:rFonts w:asciiTheme="majorHAnsi" w:hAnsiTheme="majorHAnsi"/>
                <w:b/>
              </w:rPr>
              <w:t>Suggested date for completion of tasks</w:t>
            </w:r>
          </w:p>
        </w:tc>
      </w:tr>
      <w:tr w:rsidR="00E17846" w:rsidRPr="00805401" w14:paraId="0CA930E6" w14:textId="77777777" w:rsidTr="00F04E16">
        <w:tc>
          <w:tcPr>
            <w:tcW w:w="3342" w:type="dxa"/>
          </w:tcPr>
          <w:p w14:paraId="7B9C6472" w14:textId="1D853050" w:rsidR="00F04E16" w:rsidRPr="00805401" w:rsidRDefault="00F04E16" w:rsidP="00FB64E3">
            <w:pPr>
              <w:tabs>
                <w:tab w:val="left" w:pos="8640"/>
              </w:tabs>
              <w:rPr>
                <w:rFonts w:asciiTheme="majorHAnsi" w:hAnsiTheme="majorHAnsi"/>
              </w:rPr>
            </w:pPr>
            <w:r w:rsidRPr="00805401">
              <w:rPr>
                <w:rFonts w:asciiTheme="majorHAnsi" w:hAnsiTheme="majorHAnsi"/>
              </w:rPr>
              <w:t xml:space="preserve">Continue discussion of </w:t>
            </w:r>
            <w:r w:rsidR="00A52AB8">
              <w:rPr>
                <w:rFonts w:asciiTheme="majorHAnsi" w:hAnsiTheme="majorHAnsi"/>
              </w:rPr>
              <w:t xml:space="preserve">the </w:t>
            </w:r>
            <w:r w:rsidR="0020052B">
              <w:rPr>
                <w:rFonts w:asciiTheme="majorHAnsi" w:hAnsiTheme="majorHAnsi"/>
              </w:rPr>
              <w:t>implications of</w:t>
            </w:r>
            <w:r w:rsidR="00BE65B7">
              <w:rPr>
                <w:rFonts w:asciiTheme="majorHAnsi" w:hAnsiTheme="majorHAnsi"/>
              </w:rPr>
              <w:t xml:space="preserve"> </w:t>
            </w:r>
            <w:r w:rsidR="005457B7">
              <w:rPr>
                <w:rFonts w:asciiTheme="majorHAnsi" w:hAnsiTheme="majorHAnsi"/>
              </w:rPr>
              <w:t xml:space="preserve">any </w:t>
            </w:r>
            <w:r w:rsidR="00A52AB8">
              <w:rPr>
                <w:rFonts w:asciiTheme="majorHAnsi" w:hAnsiTheme="majorHAnsi"/>
              </w:rPr>
              <w:t>new budget model</w:t>
            </w:r>
            <w:r w:rsidR="00BE65B7">
              <w:rPr>
                <w:rFonts w:asciiTheme="majorHAnsi" w:hAnsiTheme="majorHAnsi"/>
              </w:rPr>
              <w:t xml:space="preserve"> (if proposed), such as Unleas</w:t>
            </w:r>
            <w:r w:rsidR="00A52AB8">
              <w:rPr>
                <w:rFonts w:asciiTheme="majorHAnsi" w:hAnsiTheme="majorHAnsi"/>
              </w:rPr>
              <w:t>h</w:t>
            </w:r>
            <w:r w:rsidR="00BE65B7">
              <w:rPr>
                <w:rFonts w:asciiTheme="majorHAnsi" w:hAnsiTheme="majorHAnsi"/>
              </w:rPr>
              <w:t xml:space="preserve">ing </w:t>
            </w:r>
            <w:r w:rsidR="00A52AB8">
              <w:rPr>
                <w:rFonts w:asciiTheme="majorHAnsi" w:hAnsiTheme="majorHAnsi"/>
              </w:rPr>
              <w:t xml:space="preserve">the </w:t>
            </w:r>
            <w:r w:rsidR="00BE65B7">
              <w:rPr>
                <w:rFonts w:asciiTheme="majorHAnsi" w:hAnsiTheme="majorHAnsi"/>
              </w:rPr>
              <w:t xml:space="preserve">Deans, </w:t>
            </w:r>
            <w:r w:rsidR="0020052B">
              <w:rPr>
                <w:rFonts w:asciiTheme="majorHAnsi" w:hAnsiTheme="majorHAnsi"/>
              </w:rPr>
              <w:t>for the fiscal health of</w:t>
            </w:r>
            <w:r w:rsidR="00BE65B7">
              <w:rPr>
                <w:rFonts w:asciiTheme="majorHAnsi" w:hAnsiTheme="majorHAnsi"/>
              </w:rPr>
              <w:t xml:space="preserve"> COE </w:t>
            </w:r>
            <w:r w:rsidR="0020052B">
              <w:rPr>
                <w:rFonts w:asciiTheme="majorHAnsi" w:hAnsiTheme="majorHAnsi"/>
              </w:rPr>
              <w:t xml:space="preserve">and its </w:t>
            </w:r>
            <w:r w:rsidR="00792FEF">
              <w:rPr>
                <w:rFonts w:asciiTheme="majorHAnsi" w:hAnsiTheme="majorHAnsi"/>
              </w:rPr>
              <w:t xml:space="preserve">constituent </w:t>
            </w:r>
            <w:r w:rsidR="0020052B">
              <w:rPr>
                <w:rFonts w:asciiTheme="majorHAnsi" w:hAnsiTheme="majorHAnsi"/>
              </w:rPr>
              <w:t>units.</w:t>
            </w:r>
          </w:p>
        </w:tc>
        <w:tc>
          <w:tcPr>
            <w:tcW w:w="3342" w:type="dxa"/>
          </w:tcPr>
          <w:p w14:paraId="0AA97157" w14:textId="199B1E11" w:rsidR="00960326" w:rsidRPr="00805401" w:rsidRDefault="00403C5F" w:rsidP="00F04E16">
            <w:pPr>
              <w:tabs>
                <w:tab w:val="left" w:pos="8640"/>
              </w:tabs>
              <w:rPr>
                <w:rFonts w:asciiTheme="majorHAnsi" w:hAnsiTheme="majorHAnsi"/>
              </w:rPr>
            </w:pPr>
            <w:r>
              <w:rPr>
                <w:rFonts w:asciiTheme="majorHAnsi" w:hAnsiTheme="majorHAnsi"/>
              </w:rPr>
              <w:t>M</w:t>
            </w:r>
            <w:r w:rsidR="004129CD">
              <w:rPr>
                <w:rFonts w:asciiTheme="majorHAnsi" w:hAnsiTheme="majorHAnsi"/>
              </w:rPr>
              <w:t>onthly budget updates from the deans.</w:t>
            </w:r>
          </w:p>
        </w:tc>
        <w:tc>
          <w:tcPr>
            <w:tcW w:w="2604" w:type="dxa"/>
          </w:tcPr>
          <w:p w14:paraId="216DCEF4" w14:textId="6EDD4412" w:rsidR="00942B51" w:rsidRPr="00805401" w:rsidRDefault="00E17846" w:rsidP="00F04E16">
            <w:pPr>
              <w:tabs>
                <w:tab w:val="left" w:pos="8640"/>
              </w:tabs>
              <w:rPr>
                <w:rFonts w:asciiTheme="majorHAnsi" w:hAnsiTheme="majorHAnsi"/>
              </w:rPr>
            </w:pPr>
            <w:r w:rsidRPr="00805401">
              <w:rPr>
                <w:rFonts w:asciiTheme="majorHAnsi" w:hAnsiTheme="majorHAnsi"/>
              </w:rPr>
              <w:t>On-going</w:t>
            </w:r>
          </w:p>
        </w:tc>
      </w:tr>
      <w:tr w:rsidR="00720C08" w:rsidRPr="00805401" w14:paraId="6DD52948" w14:textId="77777777" w:rsidTr="00F04E16">
        <w:tc>
          <w:tcPr>
            <w:tcW w:w="3342" w:type="dxa"/>
          </w:tcPr>
          <w:p w14:paraId="270FC03F" w14:textId="2B571451" w:rsidR="00720C08" w:rsidRPr="00805401" w:rsidRDefault="00720C08" w:rsidP="002542DF">
            <w:pPr>
              <w:tabs>
                <w:tab w:val="left" w:pos="8640"/>
              </w:tabs>
              <w:rPr>
                <w:rFonts w:asciiTheme="majorHAnsi" w:hAnsiTheme="majorHAnsi"/>
              </w:rPr>
            </w:pPr>
            <w:r>
              <w:rPr>
                <w:rFonts w:asciiTheme="majorHAnsi" w:hAnsiTheme="majorHAnsi"/>
              </w:rPr>
              <w:t xml:space="preserve">Continue discussion of ways to increasing student credit hour (SCH) generation through </w:t>
            </w:r>
            <w:r w:rsidRPr="00805401">
              <w:rPr>
                <w:rFonts w:asciiTheme="majorHAnsi" w:hAnsiTheme="majorHAnsi"/>
              </w:rPr>
              <w:t xml:space="preserve">entrepreneurial activities </w:t>
            </w:r>
            <w:r>
              <w:rPr>
                <w:rFonts w:asciiTheme="majorHAnsi" w:hAnsiTheme="majorHAnsi"/>
              </w:rPr>
              <w:t xml:space="preserve">(e.g., developing new programs, building new partnerships) and </w:t>
            </w:r>
            <w:r>
              <w:rPr>
                <w:rFonts w:asciiTheme="majorHAnsi" w:hAnsiTheme="majorHAnsi"/>
              </w:rPr>
              <w:lastRenderedPageBreak/>
              <w:t>other initiatives (e.g., studying market trends, revisiting strategy plan)</w:t>
            </w:r>
          </w:p>
        </w:tc>
        <w:tc>
          <w:tcPr>
            <w:tcW w:w="3342" w:type="dxa"/>
          </w:tcPr>
          <w:p w14:paraId="224EE6D6" w14:textId="6CAE7556" w:rsidR="00720C08" w:rsidRDefault="00720C08" w:rsidP="00F04E16">
            <w:pPr>
              <w:tabs>
                <w:tab w:val="left" w:pos="8640"/>
              </w:tabs>
              <w:rPr>
                <w:rFonts w:asciiTheme="majorHAnsi" w:hAnsiTheme="majorHAnsi"/>
              </w:rPr>
            </w:pPr>
            <w:r w:rsidRPr="00805401">
              <w:rPr>
                <w:rFonts w:asciiTheme="majorHAnsi" w:hAnsiTheme="majorHAnsi"/>
              </w:rPr>
              <w:lastRenderedPageBreak/>
              <w:t>In</w:t>
            </w:r>
            <w:r>
              <w:rPr>
                <w:rFonts w:asciiTheme="majorHAnsi" w:hAnsiTheme="majorHAnsi"/>
              </w:rPr>
              <w:t>viting</w:t>
            </w:r>
            <w:r w:rsidRPr="00805401">
              <w:rPr>
                <w:rFonts w:asciiTheme="majorHAnsi" w:hAnsiTheme="majorHAnsi"/>
              </w:rPr>
              <w:t xml:space="preserve"> key personnel involved in these activities to discuss; </w:t>
            </w:r>
            <w:r>
              <w:rPr>
                <w:rFonts w:asciiTheme="majorHAnsi" w:hAnsiTheme="majorHAnsi"/>
              </w:rPr>
              <w:t xml:space="preserve">reprioritizing in terms of program development and faculty hire, </w:t>
            </w:r>
            <w:r w:rsidRPr="00805401">
              <w:rPr>
                <w:rFonts w:asciiTheme="majorHAnsi" w:hAnsiTheme="majorHAnsi"/>
              </w:rPr>
              <w:t>review</w:t>
            </w:r>
            <w:r>
              <w:rPr>
                <w:rFonts w:asciiTheme="majorHAnsi" w:hAnsiTheme="majorHAnsi"/>
              </w:rPr>
              <w:t>ing</w:t>
            </w:r>
            <w:r w:rsidRPr="00805401">
              <w:rPr>
                <w:rFonts w:asciiTheme="majorHAnsi" w:hAnsiTheme="majorHAnsi"/>
              </w:rPr>
              <w:t xml:space="preserve"> current and future project</w:t>
            </w:r>
            <w:r>
              <w:rPr>
                <w:rFonts w:asciiTheme="majorHAnsi" w:hAnsiTheme="majorHAnsi"/>
              </w:rPr>
              <w:t>s;</w:t>
            </w:r>
            <w:r w:rsidRPr="00805401">
              <w:rPr>
                <w:rFonts w:asciiTheme="majorHAnsi" w:hAnsiTheme="majorHAnsi"/>
              </w:rPr>
              <w:t xml:space="preserve"> </w:t>
            </w:r>
            <w:r>
              <w:rPr>
                <w:rFonts w:asciiTheme="majorHAnsi" w:hAnsiTheme="majorHAnsi"/>
              </w:rPr>
              <w:t xml:space="preserve">and </w:t>
            </w:r>
            <w:r w:rsidRPr="00805401">
              <w:rPr>
                <w:rFonts w:asciiTheme="majorHAnsi" w:hAnsiTheme="majorHAnsi"/>
              </w:rPr>
              <w:lastRenderedPageBreak/>
              <w:t>review</w:t>
            </w:r>
            <w:r>
              <w:rPr>
                <w:rFonts w:asciiTheme="majorHAnsi" w:hAnsiTheme="majorHAnsi"/>
              </w:rPr>
              <w:t>ing</w:t>
            </w:r>
            <w:r w:rsidRPr="00805401">
              <w:rPr>
                <w:rFonts w:asciiTheme="majorHAnsi" w:hAnsiTheme="majorHAnsi"/>
              </w:rPr>
              <w:t xml:space="preserve"> strategic plan language on entrepreneurial activities</w:t>
            </w:r>
          </w:p>
        </w:tc>
        <w:tc>
          <w:tcPr>
            <w:tcW w:w="2604" w:type="dxa"/>
          </w:tcPr>
          <w:p w14:paraId="47FA7130" w14:textId="17BBDFCB" w:rsidR="00720C08" w:rsidRPr="00805401" w:rsidRDefault="00720C08" w:rsidP="00F04E16">
            <w:pPr>
              <w:tabs>
                <w:tab w:val="left" w:pos="8640"/>
              </w:tabs>
              <w:rPr>
                <w:rFonts w:asciiTheme="majorHAnsi" w:hAnsiTheme="majorHAnsi"/>
              </w:rPr>
            </w:pPr>
            <w:r>
              <w:rPr>
                <w:rFonts w:asciiTheme="majorHAnsi" w:hAnsiTheme="majorHAnsi"/>
              </w:rPr>
              <w:lastRenderedPageBreak/>
              <w:t>On-going</w:t>
            </w:r>
          </w:p>
        </w:tc>
      </w:tr>
      <w:tr w:rsidR="009129B6" w:rsidRPr="00805401" w14:paraId="01A4735E" w14:textId="77777777" w:rsidTr="00F04E16">
        <w:tc>
          <w:tcPr>
            <w:tcW w:w="3342" w:type="dxa"/>
          </w:tcPr>
          <w:p w14:paraId="51C59B41" w14:textId="77777777" w:rsidR="00960326" w:rsidRPr="00805401" w:rsidRDefault="009129B6" w:rsidP="00F04E16">
            <w:pPr>
              <w:tabs>
                <w:tab w:val="left" w:pos="8640"/>
              </w:tabs>
              <w:rPr>
                <w:rFonts w:asciiTheme="majorHAnsi" w:hAnsiTheme="majorHAnsi"/>
              </w:rPr>
            </w:pPr>
            <w:r w:rsidRPr="00805401">
              <w:rPr>
                <w:rFonts w:asciiTheme="majorHAnsi" w:hAnsiTheme="majorHAnsi"/>
              </w:rPr>
              <w:lastRenderedPageBreak/>
              <w:t>Continue review of policies and procedures for budget decisions across college</w:t>
            </w:r>
            <w:r w:rsidR="007D03E9" w:rsidRPr="00805401">
              <w:rPr>
                <w:rFonts w:asciiTheme="majorHAnsi" w:hAnsiTheme="majorHAnsi"/>
              </w:rPr>
              <w:t>.</w:t>
            </w:r>
          </w:p>
        </w:tc>
        <w:tc>
          <w:tcPr>
            <w:tcW w:w="3342" w:type="dxa"/>
          </w:tcPr>
          <w:p w14:paraId="24E1F331" w14:textId="3C803254" w:rsidR="009129B6" w:rsidRPr="00805401" w:rsidRDefault="00F04E16" w:rsidP="00F04E16">
            <w:pPr>
              <w:tabs>
                <w:tab w:val="left" w:pos="8640"/>
              </w:tabs>
              <w:rPr>
                <w:rFonts w:asciiTheme="majorHAnsi" w:hAnsiTheme="majorHAnsi"/>
              </w:rPr>
            </w:pPr>
            <w:r w:rsidRPr="00805401">
              <w:rPr>
                <w:rFonts w:asciiTheme="majorHAnsi" w:hAnsiTheme="majorHAnsi"/>
              </w:rPr>
              <w:t xml:space="preserve">On-going monthly budget updates; </w:t>
            </w:r>
            <w:r w:rsidR="004F6835">
              <w:rPr>
                <w:rFonts w:asciiTheme="majorHAnsi" w:hAnsiTheme="majorHAnsi"/>
              </w:rPr>
              <w:t>reinstitute</w:t>
            </w:r>
            <w:r w:rsidR="009129B6" w:rsidRPr="00805401">
              <w:rPr>
                <w:rFonts w:asciiTheme="majorHAnsi" w:hAnsiTheme="majorHAnsi"/>
              </w:rPr>
              <w:t xml:space="preserve"> COE/Dean’s</w:t>
            </w:r>
            <w:r w:rsidRPr="00805401">
              <w:rPr>
                <w:rFonts w:asciiTheme="majorHAnsi" w:hAnsiTheme="majorHAnsi"/>
              </w:rPr>
              <w:t xml:space="preserve"> </w:t>
            </w:r>
            <w:r w:rsidR="009129B6" w:rsidRPr="00805401">
              <w:rPr>
                <w:rFonts w:asciiTheme="majorHAnsi" w:hAnsiTheme="majorHAnsi"/>
              </w:rPr>
              <w:t>Budget Forum</w:t>
            </w:r>
          </w:p>
        </w:tc>
        <w:tc>
          <w:tcPr>
            <w:tcW w:w="2604" w:type="dxa"/>
          </w:tcPr>
          <w:p w14:paraId="0B3B6BD5" w14:textId="77777777" w:rsidR="009129B6" w:rsidRPr="00805401" w:rsidRDefault="009129B6" w:rsidP="00F04E16">
            <w:pPr>
              <w:tabs>
                <w:tab w:val="left" w:pos="8640"/>
              </w:tabs>
              <w:rPr>
                <w:rFonts w:asciiTheme="majorHAnsi" w:hAnsiTheme="majorHAnsi"/>
              </w:rPr>
            </w:pPr>
            <w:r w:rsidRPr="00805401">
              <w:rPr>
                <w:rFonts w:asciiTheme="majorHAnsi" w:hAnsiTheme="majorHAnsi"/>
              </w:rPr>
              <w:t>On-going</w:t>
            </w:r>
          </w:p>
        </w:tc>
      </w:tr>
      <w:tr w:rsidR="009129B6" w:rsidRPr="00805401" w14:paraId="38E5A005" w14:textId="77777777" w:rsidTr="007C791C">
        <w:trPr>
          <w:trHeight w:val="782"/>
        </w:trPr>
        <w:tc>
          <w:tcPr>
            <w:tcW w:w="3342" w:type="dxa"/>
          </w:tcPr>
          <w:p w14:paraId="1CEA9E57" w14:textId="6F8CF777" w:rsidR="00F04E16" w:rsidRPr="00805401" w:rsidRDefault="00736E7B" w:rsidP="00736E7B">
            <w:pPr>
              <w:tabs>
                <w:tab w:val="left" w:pos="8640"/>
              </w:tabs>
              <w:rPr>
                <w:rFonts w:asciiTheme="majorHAnsi" w:hAnsiTheme="majorHAnsi"/>
              </w:rPr>
            </w:pPr>
            <w:r>
              <w:rPr>
                <w:rFonts w:asciiTheme="majorHAnsi" w:hAnsiTheme="majorHAnsi"/>
              </w:rPr>
              <w:t xml:space="preserve">Continue review of policies and procedures for merit allocation </w:t>
            </w:r>
          </w:p>
        </w:tc>
        <w:tc>
          <w:tcPr>
            <w:tcW w:w="3342" w:type="dxa"/>
          </w:tcPr>
          <w:p w14:paraId="6FC92421" w14:textId="6550DB5F" w:rsidR="00960326" w:rsidRPr="00805401" w:rsidRDefault="007C791C" w:rsidP="007C791C">
            <w:pPr>
              <w:tabs>
                <w:tab w:val="left" w:pos="8640"/>
              </w:tabs>
              <w:rPr>
                <w:rFonts w:asciiTheme="majorHAnsi" w:hAnsiTheme="majorHAnsi"/>
              </w:rPr>
            </w:pPr>
            <w:r>
              <w:rPr>
                <w:rFonts w:asciiTheme="majorHAnsi" w:hAnsiTheme="majorHAnsi"/>
              </w:rPr>
              <w:t>Work</w:t>
            </w:r>
            <w:r w:rsidR="004F6835">
              <w:rPr>
                <w:rFonts w:asciiTheme="majorHAnsi" w:hAnsiTheme="majorHAnsi"/>
              </w:rPr>
              <w:t>ing</w:t>
            </w:r>
            <w:r>
              <w:rPr>
                <w:rFonts w:asciiTheme="majorHAnsi" w:hAnsiTheme="majorHAnsi"/>
              </w:rPr>
              <w:t xml:space="preserve"> with the</w:t>
            </w:r>
            <w:r w:rsidR="007B4B3F">
              <w:rPr>
                <w:rFonts w:asciiTheme="majorHAnsi" w:hAnsiTheme="majorHAnsi"/>
              </w:rPr>
              <w:t xml:space="preserve"> Faculty Affairs Committee</w:t>
            </w:r>
            <w:r>
              <w:rPr>
                <w:rFonts w:asciiTheme="majorHAnsi" w:hAnsiTheme="majorHAnsi"/>
              </w:rPr>
              <w:t xml:space="preserve"> to develop </w:t>
            </w:r>
            <w:r w:rsidR="004F6835">
              <w:rPr>
                <w:rFonts w:asciiTheme="majorHAnsi" w:hAnsiTheme="majorHAnsi"/>
              </w:rPr>
              <w:t>a process for grievance regarding merit awards</w:t>
            </w:r>
          </w:p>
        </w:tc>
        <w:tc>
          <w:tcPr>
            <w:tcW w:w="2604" w:type="dxa"/>
          </w:tcPr>
          <w:p w14:paraId="127BF7FF" w14:textId="7A2B81BD" w:rsidR="007C791C" w:rsidRPr="00805401" w:rsidRDefault="00736E7B" w:rsidP="00F04E16">
            <w:pPr>
              <w:tabs>
                <w:tab w:val="left" w:pos="8640"/>
              </w:tabs>
              <w:rPr>
                <w:rFonts w:asciiTheme="majorHAnsi" w:hAnsiTheme="majorHAnsi"/>
              </w:rPr>
            </w:pPr>
            <w:r>
              <w:rPr>
                <w:rFonts w:asciiTheme="majorHAnsi" w:hAnsiTheme="majorHAnsi"/>
              </w:rPr>
              <w:t>May</w:t>
            </w:r>
          </w:p>
        </w:tc>
      </w:tr>
      <w:tr w:rsidR="009129B6" w:rsidRPr="00805401" w14:paraId="20A59149" w14:textId="77777777" w:rsidTr="00F04E16">
        <w:tc>
          <w:tcPr>
            <w:tcW w:w="3342" w:type="dxa"/>
          </w:tcPr>
          <w:p w14:paraId="5C38A400" w14:textId="7E5C6461" w:rsidR="00F04E16" w:rsidRPr="00805401" w:rsidRDefault="007C791C" w:rsidP="0072207D">
            <w:pPr>
              <w:tabs>
                <w:tab w:val="left" w:pos="8640"/>
              </w:tabs>
              <w:rPr>
                <w:rFonts w:asciiTheme="majorHAnsi" w:hAnsiTheme="majorHAnsi"/>
              </w:rPr>
            </w:pPr>
            <w:r>
              <w:rPr>
                <w:rFonts w:asciiTheme="majorHAnsi" w:hAnsiTheme="majorHAnsi"/>
              </w:rPr>
              <w:t xml:space="preserve">Continue discussion </w:t>
            </w:r>
            <w:r w:rsidR="0072207D">
              <w:rPr>
                <w:rFonts w:asciiTheme="majorHAnsi" w:hAnsiTheme="majorHAnsi"/>
              </w:rPr>
              <w:t>of Academic Analytics</w:t>
            </w:r>
            <w:r w:rsidR="00DA2405">
              <w:rPr>
                <w:rFonts w:asciiTheme="majorHAnsi" w:hAnsiTheme="majorHAnsi"/>
              </w:rPr>
              <w:t xml:space="preserve"> (AA)</w:t>
            </w:r>
          </w:p>
        </w:tc>
        <w:tc>
          <w:tcPr>
            <w:tcW w:w="3342" w:type="dxa"/>
          </w:tcPr>
          <w:p w14:paraId="03F87915" w14:textId="5CF530C7" w:rsidR="0072207D" w:rsidRPr="00805401" w:rsidRDefault="00596D53" w:rsidP="009D67E5">
            <w:pPr>
              <w:tabs>
                <w:tab w:val="left" w:pos="8640"/>
              </w:tabs>
              <w:rPr>
                <w:rFonts w:asciiTheme="majorHAnsi" w:hAnsiTheme="majorHAnsi"/>
              </w:rPr>
            </w:pPr>
            <w:r>
              <w:rPr>
                <w:rFonts w:asciiTheme="majorHAnsi" w:hAnsiTheme="majorHAnsi"/>
              </w:rPr>
              <w:t>Involving faculty across units in discussion of AA</w:t>
            </w:r>
            <w:r w:rsidR="006D50B9">
              <w:rPr>
                <w:rFonts w:asciiTheme="majorHAnsi" w:hAnsiTheme="majorHAnsi"/>
              </w:rPr>
              <w:t>, including its value and</w:t>
            </w:r>
            <w:r>
              <w:rPr>
                <w:rFonts w:asciiTheme="majorHAnsi" w:hAnsiTheme="majorHAnsi"/>
              </w:rPr>
              <w:t xml:space="preserve"> relevance</w:t>
            </w:r>
            <w:r w:rsidR="00FF6542">
              <w:rPr>
                <w:rFonts w:asciiTheme="majorHAnsi" w:hAnsiTheme="majorHAnsi"/>
              </w:rPr>
              <w:t>,</w:t>
            </w:r>
            <w:r>
              <w:rPr>
                <w:rFonts w:asciiTheme="majorHAnsi" w:hAnsiTheme="majorHAnsi"/>
              </w:rPr>
              <w:t xml:space="preserve"> issues</w:t>
            </w:r>
            <w:r w:rsidR="006D50B9">
              <w:rPr>
                <w:rFonts w:asciiTheme="majorHAnsi" w:hAnsiTheme="majorHAnsi"/>
              </w:rPr>
              <w:t xml:space="preserve"> and concerns,</w:t>
            </w:r>
            <w:r>
              <w:rPr>
                <w:rFonts w:asciiTheme="majorHAnsi" w:hAnsiTheme="majorHAnsi"/>
              </w:rPr>
              <w:t xml:space="preserve"> and </w:t>
            </w:r>
            <w:r w:rsidR="00FF6542">
              <w:rPr>
                <w:rFonts w:asciiTheme="majorHAnsi" w:hAnsiTheme="majorHAnsi"/>
              </w:rPr>
              <w:t>its</w:t>
            </w:r>
            <w:r>
              <w:rPr>
                <w:rFonts w:asciiTheme="majorHAnsi" w:hAnsiTheme="majorHAnsi"/>
              </w:rPr>
              <w:t xml:space="preserve"> impact on </w:t>
            </w:r>
            <w:r w:rsidR="009D67E5">
              <w:rPr>
                <w:rFonts w:asciiTheme="majorHAnsi" w:hAnsiTheme="majorHAnsi"/>
              </w:rPr>
              <w:t xml:space="preserve">COE’s strategic plan and individual </w:t>
            </w:r>
            <w:r>
              <w:rPr>
                <w:rFonts w:asciiTheme="majorHAnsi" w:hAnsiTheme="majorHAnsi"/>
              </w:rPr>
              <w:t>faculty work</w:t>
            </w:r>
          </w:p>
        </w:tc>
        <w:tc>
          <w:tcPr>
            <w:tcW w:w="2604" w:type="dxa"/>
          </w:tcPr>
          <w:p w14:paraId="6E49CF60" w14:textId="7480FB6E" w:rsidR="009129B6" w:rsidRPr="00805401" w:rsidRDefault="007C791C" w:rsidP="00F04E16">
            <w:pPr>
              <w:tabs>
                <w:tab w:val="left" w:pos="8640"/>
              </w:tabs>
              <w:rPr>
                <w:rFonts w:asciiTheme="majorHAnsi" w:hAnsiTheme="majorHAnsi"/>
              </w:rPr>
            </w:pPr>
            <w:r>
              <w:rPr>
                <w:rFonts w:asciiTheme="majorHAnsi" w:hAnsiTheme="majorHAnsi"/>
              </w:rPr>
              <w:t>On-</w:t>
            </w:r>
            <w:r w:rsidR="00420946" w:rsidRPr="00805401">
              <w:rPr>
                <w:rFonts w:asciiTheme="majorHAnsi" w:hAnsiTheme="majorHAnsi"/>
              </w:rPr>
              <w:t>going</w:t>
            </w:r>
          </w:p>
        </w:tc>
      </w:tr>
    </w:tbl>
    <w:p w14:paraId="3386C9E2" w14:textId="77777777" w:rsidR="00CF3C97" w:rsidRPr="00805401" w:rsidRDefault="00CF3C97" w:rsidP="00F04E16">
      <w:pPr>
        <w:tabs>
          <w:tab w:val="left" w:pos="8640"/>
        </w:tabs>
        <w:rPr>
          <w:rFonts w:asciiTheme="majorHAnsi" w:hAnsiTheme="majorHAnsi"/>
        </w:rPr>
      </w:pPr>
    </w:p>
    <w:p w14:paraId="5475EA4C" w14:textId="19CDBEB5" w:rsidR="00353909" w:rsidRPr="00805401" w:rsidRDefault="00353909">
      <w:pPr>
        <w:spacing w:after="200"/>
        <w:rPr>
          <w:rFonts w:eastAsiaTheme="minorHAnsi"/>
          <w:b/>
          <w:lang w:eastAsia="en-US"/>
        </w:rPr>
      </w:pPr>
    </w:p>
    <w:sectPr w:rsidR="00353909" w:rsidRPr="00805401" w:rsidSect="00F04E16">
      <w:head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5334E" w14:textId="77777777" w:rsidR="00FB64E3" w:rsidRDefault="00FB64E3" w:rsidP="00E61E5F">
      <w:r>
        <w:separator/>
      </w:r>
    </w:p>
  </w:endnote>
  <w:endnote w:type="continuationSeparator" w:id="0">
    <w:p w14:paraId="5F38522C" w14:textId="77777777" w:rsidR="00FB64E3" w:rsidRDefault="00FB64E3" w:rsidP="00E6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F55D4" w14:textId="77777777" w:rsidR="00FB64E3" w:rsidRDefault="00FB64E3" w:rsidP="00E61E5F">
      <w:r>
        <w:separator/>
      </w:r>
    </w:p>
  </w:footnote>
  <w:footnote w:type="continuationSeparator" w:id="0">
    <w:p w14:paraId="32AA9BC2" w14:textId="77777777" w:rsidR="00FB64E3" w:rsidRDefault="00FB64E3" w:rsidP="00E61E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F624" w14:textId="3752C8A3" w:rsidR="00FB64E3" w:rsidRDefault="00FB64E3" w:rsidP="00E61E5F">
    <w:pPr>
      <w:pStyle w:val="Header"/>
      <w:jc w:val="right"/>
    </w:pPr>
    <w:r>
      <w:t xml:space="preserve"> BAC Report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E2"/>
    <w:multiLevelType w:val="hybridMultilevel"/>
    <w:tmpl w:val="48C05F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274100"/>
    <w:multiLevelType w:val="hybridMultilevel"/>
    <w:tmpl w:val="D7C6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85B39"/>
    <w:multiLevelType w:val="hybridMultilevel"/>
    <w:tmpl w:val="D828181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88F4BF8"/>
    <w:multiLevelType w:val="hybridMultilevel"/>
    <w:tmpl w:val="545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197E"/>
    <w:multiLevelType w:val="hybridMultilevel"/>
    <w:tmpl w:val="769CAECE"/>
    <w:lvl w:ilvl="0" w:tplc="B19652C8">
      <w:start w:val="1"/>
      <w:numFmt w:val="bullet"/>
      <w:lvlText w:val="•"/>
      <w:lvlJc w:val="left"/>
      <w:pPr>
        <w:tabs>
          <w:tab w:val="num" w:pos="720"/>
        </w:tabs>
        <w:ind w:left="720" w:hanging="360"/>
      </w:pPr>
      <w:rPr>
        <w:rFonts w:ascii="Arial" w:hAnsi="Arial" w:hint="default"/>
      </w:rPr>
    </w:lvl>
    <w:lvl w:ilvl="1" w:tplc="43186DC0">
      <w:start w:val="442"/>
      <w:numFmt w:val="bullet"/>
      <w:lvlText w:val="–"/>
      <w:lvlJc w:val="left"/>
      <w:pPr>
        <w:tabs>
          <w:tab w:val="num" w:pos="1440"/>
        </w:tabs>
        <w:ind w:left="1440" w:hanging="360"/>
      </w:pPr>
      <w:rPr>
        <w:rFonts w:ascii="Arial" w:hAnsi="Arial" w:hint="default"/>
      </w:rPr>
    </w:lvl>
    <w:lvl w:ilvl="2" w:tplc="E36C5792" w:tentative="1">
      <w:start w:val="1"/>
      <w:numFmt w:val="bullet"/>
      <w:lvlText w:val="•"/>
      <w:lvlJc w:val="left"/>
      <w:pPr>
        <w:tabs>
          <w:tab w:val="num" w:pos="2160"/>
        </w:tabs>
        <w:ind w:left="2160" w:hanging="360"/>
      </w:pPr>
      <w:rPr>
        <w:rFonts w:ascii="Arial" w:hAnsi="Arial" w:hint="default"/>
      </w:rPr>
    </w:lvl>
    <w:lvl w:ilvl="3" w:tplc="08E2274C" w:tentative="1">
      <w:start w:val="1"/>
      <w:numFmt w:val="bullet"/>
      <w:lvlText w:val="•"/>
      <w:lvlJc w:val="left"/>
      <w:pPr>
        <w:tabs>
          <w:tab w:val="num" w:pos="2880"/>
        </w:tabs>
        <w:ind w:left="2880" w:hanging="360"/>
      </w:pPr>
      <w:rPr>
        <w:rFonts w:ascii="Arial" w:hAnsi="Arial" w:hint="default"/>
      </w:rPr>
    </w:lvl>
    <w:lvl w:ilvl="4" w:tplc="D18C9962" w:tentative="1">
      <w:start w:val="1"/>
      <w:numFmt w:val="bullet"/>
      <w:lvlText w:val="•"/>
      <w:lvlJc w:val="left"/>
      <w:pPr>
        <w:tabs>
          <w:tab w:val="num" w:pos="3600"/>
        </w:tabs>
        <w:ind w:left="3600" w:hanging="360"/>
      </w:pPr>
      <w:rPr>
        <w:rFonts w:ascii="Arial" w:hAnsi="Arial" w:hint="default"/>
      </w:rPr>
    </w:lvl>
    <w:lvl w:ilvl="5" w:tplc="C96A7924" w:tentative="1">
      <w:start w:val="1"/>
      <w:numFmt w:val="bullet"/>
      <w:lvlText w:val="•"/>
      <w:lvlJc w:val="left"/>
      <w:pPr>
        <w:tabs>
          <w:tab w:val="num" w:pos="4320"/>
        </w:tabs>
        <w:ind w:left="4320" w:hanging="360"/>
      </w:pPr>
      <w:rPr>
        <w:rFonts w:ascii="Arial" w:hAnsi="Arial" w:hint="default"/>
      </w:rPr>
    </w:lvl>
    <w:lvl w:ilvl="6" w:tplc="D54A2E40" w:tentative="1">
      <w:start w:val="1"/>
      <w:numFmt w:val="bullet"/>
      <w:lvlText w:val="•"/>
      <w:lvlJc w:val="left"/>
      <w:pPr>
        <w:tabs>
          <w:tab w:val="num" w:pos="5040"/>
        </w:tabs>
        <w:ind w:left="5040" w:hanging="360"/>
      </w:pPr>
      <w:rPr>
        <w:rFonts w:ascii="Arial" w:hAnsi="Arial" w:hint="default"/>
      </w:rPr>
    </w:lvl>
    <w:lvl w:ilvl="7" w:tplc="D5A6EA1E" w:tentative="1">
      <w:start w:val="1"/>
      <w:numFmt w:val="bullet"/>
      <w:lvlText w:val="•"/>
      <w:lvlJc w:val="left"/>
      <w:pPr>
        <w:tabs>
          <w:tab w:val="num" w:pos="5760"/>
        </w:tabs>
        <w:ind w:left="5760" w:hanging="360"/>
      </w:pPr>
      <w:rPr>
        <w:rFonts w:ascii="Arial" w:hAnsi="Arial" w:hint="default"/>
      </w:rPr>
    </w:lvl>
    <w:lvl w:ilvl="8" w:tplc="356601C4" w:tentative="1">
      <w:start w:val="1"/>
      <w:numFmt w:val="bullet"/>
      <w:lvlText w:val="•"/>
      <w:lvlJc w:val="left"/>
      <w:pPr>
        <w:tabs>
          <w:tab w:val="num" w:pos="6480"/>
        </w:tabs>
        <w:ind w:left="6480" w:hanging="360"/>
      </w:pPr>
      <w:rPr>
        <w:rFonts w:ascii="Arial" w:hAnsi="Arial" w:hint="default"/>
      </w:rPr>
    </w:lvl>
  </w:abstractNum>
  <w:abstractNum w:abstractNumId="5">
    <w:nsid w:val="2352443B"/>
    <w:multiLevelType w:val="hybridMultilevel"/>
    <w:tmpl w:val="A70A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77A6A"/>
    <w:multiLevelType w:val="hybridMultilevel"/>
    <w:tmpl w:val="024EB7A8"/>
    <w:lvl w:ilvl="0" w:tplc="029A4C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A7E20"/>
    <w:multiLevelType w:val="hybridMultilevel"/>
    <w:tmpl w:val="BDB4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7410D"/>
    <w:multiLevelType w:val="hybridMultilevel"/>
    <w:tmpl w:val="957A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C663F"/>
    <w:multiLevelType w:val="hybridMultilevel"/>
    <w:tmpl w:val="41C46674"/>
    <w:lvl w:ilvl="0" w:tplc="F9FE0D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70DA7"/>
    <w:multiLevelType w:val="hybridMultilevel"/>
    <w:tmpl w:val="48C05F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C7D3FDB"/>
    <w:multiLevelType w:val="hybridMultilevel"/>
    <w:tmpl w:val="8AC6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41DB6"/>
    <w:multiLevelType w:val="hybridMultilevel"/>
    <w:tmpl w:val="3162DA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442E5328"/>
    <w:multiLevelType w:val="hybridMultilevel"/>
    <w:tmpl w:val="5F6401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A4DC0"/>
    <w:multiLevelType w:val="hybridMultilevel"/>
    <w:tmpl w:val="27AE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D4D70"/>
    <w:multiLevelType w:val="hybridMultilevel"/>
    <w:tmpl w:val="258EFB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661456E3"/>
    <w:multiLevelType w:val="hybridMultilevel"/>
    <w:tmpl w:val="294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5"/>
  </w:num>
  <w:num w:numId="5">
    <w:abstractNumId w:val="4"/>
  </w:num>
  <w:num w:numId="6">
    <w:abstractNumId w:val="9"/>
  </w:num>
  <w:num w:numId="7">
    <w:abstractNumId w:val="6"/>
  </w:num>
  <w:num w:numId="8">
    <w:abstractNumId w:val="3"/>
  </w:num>
  <w:num w:numId="9">
    <w:abstractNumId w:val="1"/>
  </w:num>
  <w:num w:numId="10">
    <w:abstractNumId w:val="15"/>
  </w:num>
  <w:num w:numId="11">
    <w:abstractNumId w:val="12"/>
  </w:num>
  <w:num w:numId="12">
    <w:abstractNumId w:val="2"/>
  </w:num>
  <w:num w:numId="13">
    <w:abstractNumId w:val="0"/>
  </w:num>
  <w:num w:numId="14">
    <w:abstractNumId w:val="10"/>
  </w:num>
  <w:num w:numId="15">
    <w:abstractNumId w:val="8"/>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1E"/>
    <w:rsid w:val="00000934"/>
    <w:rsid w:val="0003486B"/>
    <w:rsid w:val="00040D93"/>
    <w:rsid w:val="00064AE5"/>
    <w:rsid w:val="00071275"/>
    <w:rsid w:val="000C281A"/>
    <w:rsid w:val="00132029"/>
    <w:rsid w:val="00145AE8"/>
    <w:rsid w:val="001900E4"/>
    <w:rsid w:val="001A75E5"/>
    <w:rsid w:val="001D48F5"/>
    <w:rsid w:val="0020052B"/>
    <w:rsid w:val="00226937"/>
    <w:rsid w:val="002423DA"/>
    <w:rsid w:val="002542DF"/>
    <w:rsid w:val="002920E7"/>
    <w:rsid w:val="002B0DFE"/>
    <w:rsid w:val="002B2C20"/>
    <w:rsid w:val="002D4F11"/>
    <w:rsid w:val="002E59B5"/>
    <w:rsid w:val="002F5043"/>
    <w:rsid w:val="002F7BDA"/>
    <w:rsid w:val="0032236D"/>
    <w:rsid w:val="00324D45"/>
    <w:rsid w:val="00353909"/>
    <w:rsid w:val="003552B1"/>
    <w:rsid w:val="00367F4C"/>
    <w:rsid w:val="0037731E"/>
    <w:rsid w:val="0038712F"/>
    <w:rsid w:val="003C1C54"/>
    <w:rsid w:val="00403C5F"/>
    <w:rsid w:val="004129CD"/>
    <w:rsid w:val="00420946"/>
    <w:rsid w:val="00427C29"/>
    <w:rsid w:val="00432B8E"/>
    <w:rsid w:val="00435517"/>
    <w:rsid w:val="004567B8"/>
    <w:rsid w:val="0046058A"/>
    <w:rsid w:val="004655CD"/>
    <w:rsid w:val="004660C4"/>
    <w:rsid w:val="00471276"/>
    <w:rsid w:val="004B036B"/>
    <w:rsid w:val="004C1262"/>
    <w:rsid w:val="004D3FDA"/>
    <w:rsid w:val="004E6FA5"/>
    <w:rsid w:val="004F5B3F"/>
    <w:rsid w:val="004F6835"/>
    <w:rsid w:val="00516FB5"/>
    <w:rsid w:val="00534AD6"/>
    <w:rsid w:val="005430D4"/>
    <w:rsid w:val="0054423A"/>
    <w:rsid w:val="005457B7"/>
    <w:rsid w:val="00567988"/>
    <w:rsid w:val="00577569"/>
    <w:rsid w:val="00596D53"/>
    <w:rsid w:val="005A263D"/>
    <w:rsid w:val="005B0BDF"/>
    <w:rsid w:val="005C4CED"/>
    <w:rsid w:val="005D3B97"/>
    <w:rsid w:val="005E0E57"/>
    <w:rsid w:val="005F043E"/>
    <w:rsid w:val="005F1B5D"/>
    <w:rsid w:val="00600839"/>
    <w:rsid w:val="006033F6"/>
    <w:rsid w:val="0062575F"/>
    <w:rsid w:val="006479FA"/>
    <w:rsid w:val="00663599"/>
    <w:rsid w:val="006A00FA"/>
    <w:rsid w:val="006A502C"/>
    <w:rsid w:val="006D50B9"/>
    <w:rsid w:val="006E0612"/>
    <w:rsid w:val="006E2F29"/>
    <w:rsid w:val="006F09C5"/>
    <w:rsid w:val="00705608"/>
    <w:rsid w:val="00712DB7"/>
    <w:rsid w:val="00720C08"/>
    <w:rsid w:val="0072207D"/>
    <w:rsid w:val="00736E7B"/>
    <w:rsid w:val="007475AE"/>
    <w:rsid w:val="00786AC2"/>
    <w:rsid w:val="00791F1E"/>
    <w:rsid w:val="00792FEF"/>
    <w:rsid w:val="007B4B3F"/>
    <w:rsid w:val="007C791C"/>
    <w:rsid w:val="007D03E9"/>
    <w:rsid w:val="007D1B76"/>
    <w:rsid w:val="007D2611"/>
    <w:rsid w:val="00805401"/>
    <w:rsid w:val="00846EE4"/>
    <w:rsid w:val="00883F1A"/>
    <w:rsid w:val="008A6CB3"/>
    <w:rsid w:val="008B01B1"/>
    <w:rsid w:val="008C1FC7"/>
    <w:rsid w:val="008C6A2F"/>
    <w:rsid w:val="009045FA"/>
    <w:rsid w:val="00911B28"/>
    <w:rsid w:val="009122D2"/>
    <w:rsid w:val="009129B6"/>
    <w:rsid w:val="00942B51"/>
    <w:rsid w:val="00953F0C"/>
    <w:rsid w:val="00960326"/>
    <w:rsid w:val="00964ACF"/>
    <w:rsid w:val="009A2CEE"/>
    <w:rsid w:val="009C3C77"/>
    <w:rsid w:val="009C661B"/>
    <w:rsid w:val="009D5F60"/>
    <w:rsid w:val="009D67E5"/>
    <w:rsid w:val="009E2F9D"/>
    <w:rsid w:val="009F60EA"/>
    <w:rsid w:val="00A16583"/>
    <w:rsid w:val="00A512A6"/>
    <w:rsid w:val="00A52AB8"/>
    <w:rsid w:val="00A5573D"/>
    <w:rsid w:val="00A61431"/>
    <w:rsid w:val="00A95190"/>
    <w:rsid w:val="00AA08EE"/>
    <w:rsid w:val="00AB072D"/>
    <w:rsid w:val="00AE04EE"/>
    <w:rsid w:val="00AE6F7E"/>
    <w:rsid w:val="00B26758"/>
    <w:rsid w:val="00B474D9"/>
    <w:rsid w:val="00B56F7C"/>
    <w:rsid w:val="00B62379"/>
    <w:rsid w:val="00BC0C84"/>
    <w:rsid w:val="00BD65D5"/>
    <w:rsid w:val="00BE4F80"/>
    <w:rsid w:val="00BE65B7"/>
    <w:rsid w:val="00C16583"/>
    <w:rsid w:val="00C31F8C"/>
    <w:rsid w:val="00C86F05"/>
    <w:rsid w:val="00C93CC7"/>
    <w:rsid w:val="00C9544C"/>
    <w:rsid w:val="00CA153F"/>
    <w:rsid w:val="00CB712C"/>
    <w:rsid w:val="00CF3C97"/>
    <w:rsid w:val="00CF49C3"/>
    <w:rsid w:val="00D05302"/>
    <w:rsid w:val="00D26418"/>
    <w:rsid w:val="00D35AF0"/>
    <w:rsid w:val="00D35C60"/>
    <w:rsid w:val="00D6000F"/>
    <w:rsid w:val="00D60555"/>
    <w:rsid w:val="00D648BB"/>
    <w:rsid w:val="00D73413"/>
    <w:rsid w:val="00D73505"/>
    <w:rsid w:val="00DA2405"/>
    <w:rsid w:val="00DC0CE9"/>
    <w:rsid w:val="00DF155C"/>
    <w:rsid w:val="00E07463"/>
    <w:rsid w:val="00E17846"/>
    <w:rsid w:val="00E61E5F"/>
    <w:rsid w:val="00E64768"/>
    <w:rsid w:val="00E93AA2"/>
    <w:rsid w:val="00ED14F2"/>
    <w:rsid w:val="00ED20B4"/>
    <w:rsid w:val="00EF6E27"/>
    <w:rsid w:val="00F04E16"/>
    <w:rsid w:val="00F06FE5"/>
    <w:rsid w:val="00F234C5"/>
    <w:rsid w:val="00F31FDA"/>
    <w:rsid w:val="00F40AA1"/>
    <w:rsid w:val="00F43F5D"/>
    <w:rsid w:val="00F76B0A"/>
    <w:rsid w:val="00F77036"/>
    <w:rsid w:val="00F94C97"/>
    <w:rsid w:val="00FB1E84"/>
    <w:rsid w:val="00FB4FC7"/>
    <w:rsid w:val="00FB64E3"/>
    <w:rsid w:val="00FE55BA"/>
    <w:rsid w:val="00FF65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D9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 w:type="paragraph" w:styleId="NoSpacing">
    <w:name w:val="No Spacing"/>
    <w:uiPriority w:val="1"/>
    <w:qFormat/>
    <w:rsid w:val="000C281A"/>
    <w:pPr>
      <w:spacing w:after="0"/>
    </w:pPr>
    <w:rPr>
      <w:rFonts w:eastAsiaTheme="minorHAnsi"/>
      <w:sz w:val="22"/>
      <w:szCs w:val="22"/>
      <w:lang w:eastAsia="en-US"/>
    </w:rPr>
  </w:style>
  <w:style w:type="paragraph" w:styleId="PlainText">
    <w:name w:val="Plain Text"/>
    <w:basedOn w:val="Normal"/>
    <w:link w:val="PlainTextChar"/>
    <w:uiPriority w:val="99"/>
    <w:unhideWhenUsed/>
    <w:rsid w:val="001D48F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D48F5"/>
    <w:rPr>
      <w:rFonts w:ascii="Calibri" w:eastAsiaTheme="minorHAnsi" w:hAnsi="Calibri" w:cs="Calibri"/>
      <w:sz w:val="22"/>
      <w:szCs w:val="22"/>
      <w:lang w:eastAsia="en-US"/>
    </w:rPr>
  </w:style>
  <w:style w:type="character" w:styleId="Strong">
    <w:name w:val="Strong"/>
    <w:basedOn w:val="DefaultParagraphFont"/>
    <w:uiPriority w:val="22"/>
    <w:qFormat/>
    <w:rsid w:val="00000934"/>
    <w:rPr>
      <w:b/>
      <w:bCs/>
    </w:rPr>
  </w:style>
  <w:style w:type="character" w:styleId="FollowedHyperlink">
    <w:name w:val="FollowedHyperlink"/>
    <w:basedOn w:val="DefaultParagraphFont"/>
    <w:uiPriority w:val="99"/>
    <w:semiHidden/>
    <w:unhideWhenUsed/>
    <w:rsid w:val="00F06F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C5"/>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379"/>
    <w:rPr>
      <w:rFonts w:ascii="Lucida Grande" w:hAnsi="Lucida Grande" w:cs="Lucida Grande"/>
      <w:sz w:val="18"/>
      <w:szCs w:val="18"/>
    </w:rPr>
  </w:style>
  <w:style w:type="paragraph" w:styleId="ListParagraph">
    <w:name w:val="List Paragraph"/>
    <w:basedOn w:val="Normal"/>
    <w:uiPriority w:val="34"/>
    <w:qFormat/>
    <w:rsid w:val="0037731E"/>
    <w:pPr>
      <w:ind w:left="720"/>
      <w:contextualSpacing/>
    </w:pPr>
  </w:style>
  <w:style w:type="table" w:styleId="TableGrid">
    <w:name w:val="Table Grid"/>
    <w:basedOn w:val="TableNormal"/>
    <w:uiPriority w:val="59"/>
    <w:rsid w:val="003773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74D9"/>
    <w:rPr>
      <w:color w:val="0000FF" w:themeColor="hyperlink"/>
      <w:u w:val="single"/>
    </w:rPr>
  </w:style>
  <w:style w:type="character" w:styleId="CommentReference">
    <w:name w:val="annotation reference"/>
    <w:basedOn w:val="DefaultParagraphFont"/>
    <w:uiPriority w:val="99"/>
    <w:semiHidden/>
    <w:unhideWhenUsed/>
    <w:rsid w:val="003C1C54"/>
    <w:rPr>
      <w:sz w:val="16"/>
      <w:szCs w:val="16"/>
    </w:rPr>
  </w:style>
  <w:style w:type="paragraph" w:styleId="CommentText">
    <w:name w:val="annotation text"/>
    <w:basedOn w:val="Normal"/>
    <w:link w:val="CommentTextChar"/>
    <w:uiPriority w:val="99"/>
    <w:semiHidden/>
    <w:unhideWhenUsed/>
    <w:rsid w:val="003C1C54"/>
    <w:rPr>
      <w:sz w:val="20"/>
      <w:szCs w:val="20"/>
    </w:rPr>
  </w:style>
  <w:style w:type="character" w:customStyle="1" w:styleId="CommentTextChar">
    <w:name w:val="Comment Text Char"/>
    <w:basedOn w:val="DefaultParagraphFont"/>
    <w:link w:val="CommentText"/>
    <w:uiPriority w:val="99"/>
    <w:semiHidden/>
    <w:rsid w:val="003C1C54"/>
  </w:style>
  <w:style w:type="paragraph" w:styleId="CommentSubject">
    <w:name w:val="annotation subject"/>
    <w:basedOn w:val="CommentText"/>
    <w:next w:val="CommentText"/>
    <w:link w:val="CommentSubjectChar"/>
    <w:uiPriority w:val="99"/>
    <w:semiHidden/>
    <w:unhideWhenUsed/>
    <w:rsid w:val="003C1C54"/>
    <w:rPr>
      <w:b/>
      <w:bCs/>
    </w:rPr>
  </w:style>
  <w:style w:type="character" w:customStyle="1" w:styleId="CommentSubjectChar">
    <w:name w:val="Comment Subject Char"/>
    <w:basedOn w:val="CommentTextChar"/>
    <w:link w:val="CommentSubject"/>
    <w:uiPriority w:val="99"/>
    <w:semiHidden/>
    <w:rsid w:val="003C1C54"/>
    <w:rPr>
      <w:b/>
      <w:bCs/>
    </w:rPr>
  </w:style>
  <w:style w:type="paragraph" w:styleId="Header">
    <w:name w:val="header"/>
    <w:basedOn w:val="Normal"/>
    <w:link w:val="HeaderChar"/>
    <w:uiPriority w:val="99"/>
    <w:unhideWhenUsed/>
    <w:rsid w:val="00E61E5F"/>
    <w:pPr>
      <w:tabs>
        <w:tab w:val="center" w:pos="4320"/>
        <w:tab w:val="right" w:pos="8640"/>
      </w:tabs>
    </w:pPr>
  </w:style>
  <w:style w:type="character" w:customStyle="1" w:styleId="HeaderChar">
    <w:name w:val="Header Char"/>
    <w:basedOn w:val="DefaultParagraphFont"/>
    <w:link w:val="Header"/>
    <w:uiPriority w:val="99"/>
    <w:rsid w:val="00E61E5F"/>
    <w:rPr>
      <w:sz w:val="24"/>
      <w:szCs w:val="24"/>
    </w:rPr>
  </w:style>
  <w:style w:type="paragraph" w:styleId="Footer">
    <w:name w:val="footer"/>
    <w:basedOn w:val="Normal"/>
    <w:link w:val="FooterChar"/>
    <w:uiPriority w:val="99"/>
    <w:unhideWhenUsed/>
    <w:rsid w:val="00E61E5F"/>
    <w:pPr>
      <w:tabs>
        <w:tab w:val="center" w:pos="4320"/>
        <w:tab w:val="right" w:pos="8640"/>
      </w:tabs>
    </w:pPr>
  </w:style>
  <w:style w:type="character" w:customStyle="1" w:styleId="FooterChar">
    <w:name w:val="Footer Char"/>
    <w:basedOn w:val="DefaultParagraphFont"/>
    <w:link w:val="Footer"/>
    <w:uiPriority w:val="99"/>
    <w:rsid w:val="00E61E5F"/>
    <w:rPr>
      <w:sz w:val="24"/>
      <w:szCs w:val="24"/>
    </w:rPr>
  </w:style>
  <w:style w:type="paragraph" w:styleId="NoSpacing">
    <w:name w:val="No Spacing"/>
    <w:uiPriority w:val="1"/>
    <w:qFormat/>
    <w:rsid w:val="000C281A"/>
    <w:pPr>
      <w:spacing w:after="0"/>
    </w:pPr>
    <w:rPr>
      <w:rFonts w:eastAsiaTheme="minorHAnsi"/>
      <w:sz w:val="22"/>
      <w:szCs w:val="22"/>
      <w:lang w:eastAsia="en-US"/>
    </w:rPr>
  </w:style>
  <w:style w:type="paragraph" w:styleId="PlainText">
    <w:name w:val="Plain Text"/>
    <w:basedOn w:val="Normal"/>
    <w:link w:val="PlainTextChar"/>
    <w:uiPriority w:val="99"/>
    <w:unhideWhenUsed/>
    <w:rsid w:val="001D48F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1D48F5"/>
    <w:rPr>
      <w:rFonts w:ascii="Calibri" w:eastAsiaTheme="minorHAnsi" w:hAnsi="Calibri" w:cs="Calibri"/>
      <w:sz w:val="22"/>
      <w:szCs w:val="22"/>
      <w:lang w:eastAsia="en-US"/>
    </w:rPr>
  </w:style>
  <w:style w:type="character" w:styleId="Strong">
    <w:name w:val="Strong"/>
    <w:basedOn w:val="DefaultParagraphFont"/>
    <w:uiPriority w:val="22"/>
    <w:qFormat/>
    <w:rsid w:val="00000934"/>
    <w:rPr>
      <w:b/>
      <w:bCs/>
    </w:rPr>
  </w:style>
  <w:style w:type="character" w:styleId="FollowedHyperlink">
    <w:name w:val="FollowedHyperlink"/>
    <w:basedOn w:val="DefaultParagraphFont"/>
    <w:uiPriority w:val="99"/>
    <w:semiHidden/>
    <w:unhideWhenUsed/>
    <w:rsid w:val="00F06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010">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2062249047">
      <w:bodyDiv w:val="1"/>
      <w:marLeft w:val="0"/>
      <w:marRight w:val="0"/>
      <w:marTop w:val="0"/>
      <w:marBottom w:val="0"/>
      <w:divBdr>
        <w:top w:val="none" w:sz="0" w:space="0" w:color="auto"/>
        <w:left w:val="none" w:sz="0" w:space="0" w:color="auto"/>
        <w:bottom w:val="none" w:sz="0" w:space="0" w:color="auto"/>
        <w:right w:val="none" w:sz="0" w:space="0" w:color="auto"/>
      </w:divBdr>
      <w:divsChild>
        <w:div w:id="637957086">
          <w:marLeft w:val="547"/>
          <w:marRight w:val="0"/>
          <w:marTop w:val="130"/>
          <w:marBottom w:val="0"/>
          <w:divBdr>
            <w:top w:val="none" w:sz="0" w:space="0" w:color="auto"/>
            <w:left w:val="none" w:sz="0" w:space="0" w:color="auto"/>
            <w:bottom w:val="none" w:sz="0" w:space="0" w:color="auto"/>
            <w:right w:val="none" w:sz="0" w:space="0" w:color="auto"/>
          </w:divBdr>
        </w:div>
        <w:div w:id="2101948930">
          <w:marLeft w:val="547"/>
          <w:marRight w:val="0"/>
          <w:marTop w:val="130"/>
          <w:marBottom w:val="0"/>
          <w:divBdr>
            <w:top w:val="none" w:sz="0" w:space="0" w:color="auto"/>
            <w:left w:val="none" w:sz="0" w:space="0" w:color="auto"/>
            <w:bottom w:val="none" w:sz="0" w:space="0" w:color="auto"/>
            <w:right w:val="none" w:sz="0" w:space="0" w:color="auto"/>
          </w:divBdr>
        </w:div>
        <w:div w:id="2001813113">
          <w:marLeft w:val="1166"/>
          <w:marRight w:val="0"/>
          <w:marTop w:val="115"/>
          <w:marBottom w:val="0"/>
          <w:divBdr>
            <w:top w:val="none" w:sz="0" w:space="0" w:color="auto"/>
            <w:left w:val="none" w:sz="0" w:space="0" w:color="auto"/>
            <w:bottom w:val="none" w:sz="0" w:space="0" w:color="auto"/>
            <w:right w:val="none" w:sz="0" w:space="0" w:color="auto"/>
          </w:divBdr>
        </w:div>
        <w:div w:id="500044291">
          <w:marLeft w:val="1166"/>
          <w:marRight w:val="0"/>
          <w:marTop w:val="115"/>
          <w:marBottom w:val="0"/>
          <w:divBdr>
            <w:top w:val="none" w:sz="0" w:space="0" w:color="auto"/>
            <w:left w:val="none" w:sz="0" w:space="0" w:color="auto"/>
            <w:bottom w:val="none" w:sz="0" w:space="0" w:color="auto"/>
            <w:right w:val="none" w:sz="0" w:space="0" w:color="auto"/>
          </w:divBdr>
        </w:div>
        <w:div w:id="48917556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ufl.edu/faculty-policy/polici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hronicle.com/article/Colleges-Unleash-the-Deans/151711/" TargetMode="External"/><Relationship Id="rId10" Type="http://schemas.openxmlformats.org/officeDocument/2006/relationships/hyperlink" Target="http://education.ufl.edu/faculty-poli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FE2A3-03AB-BB4A-91DB-8D4C28C1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5306</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Dorene Ross</dc:creator>
  <cp:lastModifiedBy>Todd McCardle</cp:lastModifiedBy>
  <cp:revision>2</cp:revision>
  <cp:lastPrinted>2013-04-10T17:12:00Z</cp:lastPrinted>
  <dcterms:created xsi:type="dcterms:W3CDTF">2015-04-20T01:23:00Z</dcterms:created>
  <dcterms:modified xsi:type="dcterms:W3CDTF">2015-04-20T01:23:00Z</dcterms:modified>
</cp:coreProperties>
</file>