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47" w:rsidRPr="00001B20" w:rsidRDefault="00106747" w:rsidP="00106747">
      <w:pPr>
        <w:spacing w:before="160" w:after="160"/>
        <w:jc w:val="center"/>
        <w:outlineLvl w:val="0"/>
        <w:rPr>
          <w:rFonts w:ascii="Times" w:eastAsia="Times New Roman" w:hAnsi="Times"/>
          <w:b/>
          <w:bCs/>
          <w:color w:val="auto"/>
          <w:kern w:val="36"/>
          <w:sz w:val="48"/>
          <w:szCs w:val="48"/>
        </w:rPr>
      </w:pPr>
      <w:bookmarkStart w:id="0" w:name="_GoBack"/>
      <w:bookmarkEnd w:id="0"/>
      <w:r w:rsidRPr="00001B20">
        <w:rPr>
          <w:rFonts w:eastAsia="Times New Roman"/>
          <w:b/>
          <w:bCs/>
          <w:color w:val="000000"/>
          <w:kern w:val="36"/>
        </w:rPr>
        <w:t>Monday, October 24, 2016</w:t>
      </w:r>
    </w:p>
    <w:p w:rsidR="00106747" w:rsidRPr="00001B20" w:rsidRDefault="00106747" w:rsidP="00106747">
      <w:pPr>
        <w:rPr>
          <w:rFonts w:ascii="Times" w:hAnsi="Times"/>
          <w:color w:val="auto"/>
          <w:sz w:val="20"/>
          <w:szCs w:val="20"/>
        </w:rPr>
      </w:pPr>
      <w:r w:rsidRPr="00001B20">
        <w:rPr>
          <w:b/>
          <w:bCs/>
          <w:color w:val="000000"/>
        </w:rPr>
        <w:t>Agenda</w:t>
      </w:r>
    </w:p>
    <w:p w:rsidR="00106747" w:rsidRPr="00001B20" w:rsidRDefault="00106747" w:rsidP="00106747">
      <w:pPr>
        <w:numPr>
          <w:ilvl w:val="0"/>
          <w:numId w:val="10"/>
        </w:numPr>
        <w:textAlignment w:val="baseline"/>
        <w:rPr>
          <w:color w:val="000000"/>
        </w:rPr>
      </w:pPr>
      <w:r w:rsidRPr="00001B20">
        <w:rPr>
          <w:color w:val="000000"/>
        </w:rPr>
        <w:t xml:space="preserve">Report on data from the FPC Diversity Committee pertaining to faculty perceptions of the mentoring they receive in the COE. (KC-see </w:t>
      </w:r>
      <w:hyperlink r:id="rId6" w:anchor="heading=h.bxmyn5v15hgy" w:history="1">
        <w:r w:rsidRPr="00001B20">
          <w:rPr>
            <w:color w:val="1155CC"/>
            <w:u w:val="single"/>
          </w:rPr>
          <w:t>appendix</w:t>
        </w:r>
      </w:hyperlink>
      <w:r w:rsidRPr="00001B20">
        <w:rPr>
          <w:color w:val="000000"/>
        </w:rPr>
        <w:t>)</w:t>
      </w:r>
    </w:p>
    <w:p w:rsidR="00106747" w:rsidRPr="00001B20" w:rsidRDefault="00106747" w:rsidP="00106747">
      <w:pPr>
        <w:numPr>
          <w:ilvl w:val="0"/>
          <w:numId w:val="10"/>
        </w:numPr>
        <w:textAlignment w:val="baseline"/>
        <w:rPr>
          <w:color w:val="000000"/>
        </w:rPr>
      </w:pPr>
      <w:r w:rsidRPr="00001B20">
        <w:rPr>
          <w:color w:val="000000"/>
        </w:rPr>
        <w:t xml:space="preserve">Discuss response to feedback from FPC and further </w:t>
      </w:r>
      <w:hyperlink r:id="rId7" w:history="1">
        <w:r w:rsidRPr="00001B20">
          <w:rPr>
            <w:color w:val="1155CC"/>
            <w:u w:val="single"/>
          </w:rPr>
          <w:t>revisions to the mentoring plan</w:t>
        </w:r>
      </w:hyperlink>
      <w:r w:rsidRPr="00001B20">
        <w:rPr>
          <w:color w:val="000000"/>
        </w:rPr>
        <w:t>. (</w:t>
      </w:r>
      <w:proofErr w:type="gramStart"/>
      <w:r w:rsidRPr="00001B20">
        <w:rPr>
          <w:color w:val="000000"/>
        </w:rPr>
        <w:t>see</w:t>
      </w:r>
      <w:proofErr w:type="gramEnd"/>
      <w:r w:rsidRPr="00001B20">
        <w:rPr>
          <w:color w:val="000000"/>
        </w:rPr>
        <w:t xml:space="preserve"> minutes from the meeting on 9/26/2016)</w:t>
      </w:r>
    </w:p>
    <w:p w:rsidR="00106747" w:rsidRPr="00001B20" w:rsidRDefault="00106747" w:rsidP="00106747">
      <w:pPr>
        <w:numPr>
          <w:ilvl w:val="0"/>
          <w:numId w:val="10"/>
        </w:numPr>
        <w:textAlignment w:val="baseline"/>
        <w:rPr>
          <w:color w:val="000000"/>
        </w:rPr>
      </w:pPr>
      <w:r w:rsidRPr="00001B20">
        <w:rPr>
          <w:color w:val="000000"/>
        </w:rPr>
        <w:t xml:space="preserve">Discuss the crosswalk table of promotion guidelines for Clinical faculty, Scholars, and </w:t>
      </w:r>
      <w:proofErr w:type="gramStart"/>
      <w:r w:rsidRPr="00001B20">
        <w:rPr>
          <w:color w:val="000000"/>
        </w:rPr>
        <w:t>Lecturers ,</w:t>
      </w:r>
      <w:proofErr w:type="gramEnd"/>
      <w:r w:rsidRPr="00001B20">
        <w:rPr>
          <w:color w:val="000000"/>
        </w:rPr>
        <w:t xml:space="preserve"> which needs to be amended to include the recently created Research Scientist positions (</w:t>
      </w:r>
      <w:hyperlink r:id="rId8" w:history="1">
        <w:r w:rsidRPr="00001B20">
          <w:rPr>
            <w:color w:val="1155CC"/>
            <w:u w:val="single"/>
          </w:rPr>
          <w:t>Non-tenure track promotion guidelines crosswalk.docx</w:t>
        </w:r>
      </w:hyperlink>
      <w:r w:rsidRPr="00001B20">
        <w:rPr>
          <w:color w:val="000000"/>
        </w:rPr>
        <w:t xml:space="preserve"> </w:t>
      </w:r>
      <w:r w:rsidRPr="00001B20">
        <w:rPr>
          <w:b/>
          <w:bCs/>
          <w:color w:val="000000"/>
        </w:rPr>
        <w:t>|</w:t>
      </w:r>
      <w:r w:rsidRPr="00001B20">
        <w:rPr>
          <w:color w:val="000000"/>
        </w:rPr>
        <w:t xml:space="preserve"> </w:t>
      </w:r>
      <w:hyperlink r:id="rId9" w:history="1">
        <w:r w:rsidRPr="00001B20">
          <w:rPr>
            <w:color w:val="1155CC"/>
            <w:u w:val="single"/>
          </w:rPr>
          <w:t>research scientist.pdf</w:t>
        </w:r>
      </w:hyperlink>
      <w:r w:rsidRPr="00001B20">
        <w:rPr>
          <w:color w:val="000000"/>
        </w:rPr>
        <w:t xml:space="preserve">, </w:t>
      </w:r>
      <w:hyperlink r:id="rId10" w:history="1">
        <w:r w:rsidRPr="00001B20">
          <w:rPr>
            <w:color w:val="1155CC"/>
            <w:u w:val="single"/>
          </w:rPr>
          <w:t>assistant research scientist.pdf</w:t>
        </w:r>
      </w:hyperlink>
      <w:r w:rsidRPr="00001B20">
        <w:rPr>
          <w:color w:val="000000"/>
        </w:rPr>
        <w:t>)</w:t>
      </w:r>
    </w:p>
    <w:p w:rsidR="00106747" w:rsidRPr="00001B20" w:rsidRDefault="00106747" w:rsidP="00106747">
      <w:pPr>
        <w:numPr>
          <w:ilvl w:val="1"/>
          <w:numId w:val="10"/>
        </w:numPr>
        <w:textAlignment w:val="baseline"/>
        <w:rPr>
          <w:color w:val="000000"/>
        </w:rPr>
      </w:pPr>
      <w:r w:rsidRPr="00001B20">
        <w:rPr>
          <w:color w:val="000000"/>
        </w:rPr>
        <w:t>“A review across guidelines revealed that essentially the same guidelines are currently used for faculty in all three positions suggesting a need to revise the guidelines to better align with faculty responsibilities and positions.” FPC FAC 2015-16</w:t>
      </w:r>
    </w:p>
    <w:p w:rsidR="00106747" w:rsidRPr="00001B20" w:rsidRDefault="00106747" w:rsidP="00106747">
      <w:pPr>
        <w:numPr>
          <w:ilvl w:val="0"/>
          <w:numId w:val="10"/>
        </w:numPr>
        <w:textAlignment w:val="baseline"/>
        <w:rPr>
          <w:color w:val="000000"/>
        </w:rPr>
      </w:pPr>
      <w:r w:rsidRPr="00001B20">
        <w:rPr>
          <w:color w:val="000000"/>
        </w:rPr>
        <w:t xml:space="preserve">Discussion of FAC’s potential contribution to the </w:t>
      </w:r>
      <w:hyperlink r:id="rId11" w:history="1">
        <w:r w:rsidRPr="00001B20">
          <w:rPr>
            <w:color w:val="1155CC"/>
            <w:u w:val="single"/>
          </w:rPr>
          <w:t>strategic plan</w:t>
        </w:r>
      </w:hyperlink>
      <w:r w:rsidRPr="00001B20">
        <w:rPr>
          <w:color w:val="000000"/>
        </w:rPr>
        <w:t>. (Potential metrics have been assigned to the objectives. Is there anything that this committee can take up that helps move the COE forward?)</w:t>
      </w:r>
    </w:p>
    <w:p w:rsidR="00106747" w:rsidRPr="00001B20" w:rsidRDefault="00106747" w:rsidP="00106747">
      <w:pPr>
        <w:rPr>
          <w:rFonts w:ascii="Times" w:eastAsia="Times New Roman" w:hAnsi="Times"/>
          <w:color w:val="auto"/>
          <w:sz w:val="20"/>
          <w:szCs w:val="20"/>
        </w:rPr>
      </w:pPr>
    </w:p>
    <w:p w:rsidR="00106747" w:rsidRPr="00001B20" w:rsidRDefault="00106747" w:rsidP="00106747">
      <w:pPr>
        <w:rPr>
          <w:rFonts w:ascii="Times" w:hAnsi="Times"/>
          <w:color w:val="auto"/>
          <w:sz w:val="20"/>
          <w:szCs w:val="20"/>
        </w:rPr>
      </w:pPr>
      <w:r w:rsidRPr="00001B20">
        <w:rPr>
          <w:b/>
          <w:bCs/>
          <w:color w:val="000000"/>
        </w:rPr>
        <w:t>In Attendance:</w:t>
      </w:r>
      <w:r w:rsidRPr="00001B20">
        <w:rPr>
          <w:color w:val="000000"/>
        </w:rPr>
        <w:t xml:space="preserve"> </w:t>
      </w:r>
      <w:proofErr w:type="spellStart"/>
      <w:r w:rsidRPr="00001B20">
        <w:rPr>
          <w:color w:val="000000"/>
        </w:rPr>
        <w:t>Thomasenia</w:t>
      </w:r>
      <w:proofErr w:type="spellEnd"/>
      <w:r w:rsidRPr="00001B20">
        <w:rPr>
          <w:color w:val="000000"/>
        </w:rPr>
        <w:t xml:space="preserve"> Adams, Jacqueline Swank, Tom Dana, Paul </w:t>
      </w:r>
      <w:proofErr w:type="spellStart"/>
      <w:r w:rsidRPr="00001B20">
        <w:rPr>
          <w:color w:val="000000"/>
        </w:rPr>
        <w:t>Sindelar</w:t>
      </w:r>
      <w:proofErr w:type="spellEnd"/>
      <w:r w:rsidRPr="00001B20">
        <w:rPr>
          <w:color w:val="000000"/>
        </w:rPr>
        <w:t xml:space="preserve"> and Kent </w:t>
      </w:r>
      <w:proofErr w:type="spellStart"/>
      <w:r w:rsidRPr="00001B20">
        <w:rPr>
          <w:color w:val="000000"/>
        </w:rPr>
        <w:t>Crippen</w:t>
      </w:r>
      <w:proofErr w:type="spellEnd"/>
    </w:p>
    <w:p w:rsidR="00106747" w:rsidRPr="00001B20" w:rsidRDefault="00106747" w:rsidP="00106747">
      <w:pPr>
        <w:rPr>
          <w:rFonts w:ascii="Times" w:eastAsia="Times New Roman" w:hAnsi="Times"/>
          <w:color w:val="auto"/>
          <w:sz w:val="20"/>
          <w:szCs w:val="20"/>
        </w:rPr>
      </w:pPr>
    </w:p>
    <w:p w:rsidR="00106747" w:rsidRPr="00001B20" w:rsidRDefault="00106747" w:rsidP="00106747">
      <w:pPr>
        <w:spacing w:before="160" w:after="160"/>
        <w:outlineLvl w:val="1"/>
        <w:rPr>
          <w:rFonts w:ascii="Times" w:eastAsia="Times New Roman" w:hAnsi="Times"/>
          <w:b/>
          <w:bCs/>
          <w:color w:val="auto"/>
          <w:sz w:val="36"/>
          <w:szCs w:val="36"/>
        </w:rPr>
      </w:pPr>
      <w:r w:rsidRPr="00001B20">
        <w:rPr>
          <w:rFonts w:eastAsia="Times New Roman"/>
          <w:b/>
          <w:bCs/>
          <w:color w:val="000000"/>
        </w:rPr>
        <w:t>Minutes</w:t>
      </w:r>
    </w:p>
    <w:p w:rsidR="00106747" w:rsidRPr="00106747" w:rsidRDefault="00106747" w:rsidP="00106747">
      <w:pPr>
        <w:pStyle w:val="ListParagraph"/>
        <w:numPr>
          <w:ilvl w:val="0"/>
          <w:numId w:val="9"/>
        </w:numPr>
        <w:textAlignment w:val="baseline"/>
        <w:rPr>
          <w:color w:val="000000"/>
        </w:rPr>
      </w:pPr>
      <w:r w:rsidRPr="00106747">
        <w:rPr>
          <w:color w:val="000000"/>
        </w:rPr>
        <w:t>In light of the feedback from FPC and the information provided by the Chair of the Diversity Committee, committee members collaboratively revised the draft of the mentoring policy (focusing primarily on the accountability section). Members felt that the language was vague, occasionally redundant and somewhat overbearing.</w:t>
      </w:r>
    </w:p>
    <w:p w:rsidR="00106747" w:rsidRPr="00106747" w:rsidRDefault="00106747" w:rsidP="00106747">
      <w:pPr>
        <w:pStyle w:val="ListParagraph"/>
        <w:numPr>
          <w:ilvl w:val="0"/>
          <w:numId w:val="9"/>
        </w:numPr>
        <w:textAlignment w:val="baseline"/>
        <w:rPr>
          <w:color w:val="000000"/>
        </w:rPr>
      </w:pPr>
      <w:r w:rsidRPr="00106747">
        <w:rPr>
          <w:color w:val="000000"/>
        </w:rPr>
        <w:t>See above.</w:t>
      </w:r>
    </w:p>
    <w:p w:rsidR="00106747" w:rsidRPr="00106747" w:rsidRDefault="00106747" w:rsidP="00106747">
      <w:pPr>
        <w:pStyle w:val="ListParagraph"/>
        <w:numPr>
          <w:ilvl w:val="0"/>
          <w:numId w:val="9"/>
        </w:numPr>
        <w:textAlignment w:val="baseline"/>
        <w:rPr>
          <w:color w:val="000000"/>
        </w:rPr>
      </w:pPr>
      <w:r w:rsidRPr="00106747">
        <w:rPr>
          <w:color w:val="000000"/>
        </w:rPr>
        <w:t xml:space="preserve">Considering the evolving situation with use of titles within the COE and across the University and the use of essentially similar guidelines for promotion that are illustrated by the crosswalk document, the committee agreed to more </w:t>
      </w:r>
      <w:proofErr w:type="gramStart"/>
      <w:r w:rsidRPr="00106747">
        <w:rPr>
          <w:color w:val="000000"/>
        </w:rPr>
        <w:t>formally  explore</w:t>
      </w:r>
      <w:proofErr w:type="gramEnd"/>
      <w:r w:rsidRPr="00106747">
        <w:rPr>
          <w:color w:val="000000"/>
        </w:rPr>
        <w:t xml:space="preserve"> the merits and consequences of a single document describing the promotion guidelines for all non tenure-track positions. </w:t>
      </w:r>
    </w:p>
    <w:p w:rsidR="00106747" w:rsidRPr="00106747" w:rsidRDefault="00106747" w:rsidP="00106747">
      <w:pPr>
        <w:pStyle w:val="ListParagraph"/>
        <w:numPr>
          <w:ilvl w:val="0"/>
          <w:numId w:val="9"/>
        </w:numPr>
        <w:textAlignment w:val="baseline"/>
        <w:rPr>
          <w:color w:val="000000"/>
        </w:rPr>
      </w:pPr>
      <w:r w:rsidRPr="00106747">
        <w:rPr>
          <w:color w:val="000000"/>
        </w:rPr>
        <w:t>This discussion item was tabled and will be discussed at the next meeting.</w:t>
      </w:r>
    </w:p>
    <w:p w:rsidR="00106747" w:rsidRPr="00001B20" w:rsidRDefault="00106747" w:rsidP="00106747">
      <w:pPr>
        <w:rPr>
          <w:rFonts w:ascii="Times" w:eastAsia="Times New Roman" w:hAnsi="Times"/>
          <w:color w:val="auto"/>
          <w:sz w:val="20"/>
          <w:szCs w:val="20"/>
        </w:rPr>
      </w:pPr>
    </w:p>
    <w:p w:rsidR="00106747" w:rsidRPr="00001B20" w:rsidRDefault="00106747" w:rsidP="00106747">
      <w:pPr>
        <w:rPr>
          <w:rFonts w:ascii="Times" w:hAnsi="Times"/>
          <w:color w:val="auto"/>
          <w:sz w:val="20"/>
          <w:szCs w:val="20"/>
        </w:rPr>
      </w:pPr>
      <w:r w:rsidRPr="00001B20">
        <w:rPr>
          <w:b/>
          <w:bCs/>
          <w:color w:val="000000"/>
        </w:rPr>
        <w:t xml:space="preserve">Note: </w:t>
      </w:r>
      <w:r w:rsidRPr="00001B20">
        <w:rPr>
          <w:color w:val="000000"/>
          <w:shd w:val="clear" w:color="auto" w:fill="EAD1DC"/>
        </w:rPr>
        <w:t>The committee members in attendance agreed to move the next meeting to Monday, November 21st at 11am in order to better accommodate the missing members. In addition, the December meeting has been cancelled.</w:t>
      </w:r>
    </w:p>
    <w:p w:rsidR="00106747" w:rsidRPr="00001B20" w:rsidRDefault="00106747" w:rsidP="00106747">
      <w:pPr>
        <w:spacing w:before="160" w:after="160"/>
        <w:outlineLvl w:val="1"/>
        <w:rPr>
          <w:rFonts w:ascii="Times" w:eastAsia="Times New Roman" w:hAnsi="Times"/>
          <w:b/>
          <w:bCs/>
          <w:color w:val="auto"/>
          <w:sz w:val="36"/>
          <w:szCs w:val="36"/>
        </w:rPr>
      </w:pPr>
      <w:r w:rsidRPr="00001B20">
        <w:rPr>
          <w:rFonts w:eastAsia="Times New Roman"/>
          <w:b/>
          <w:bCs/>
          <w:color w:val="000000"/>
        </w:rPr>
        <w:t>Action Items</w:t>
      </w:r>
    </w:p>
    <w:p w:rsidR="00106747" w:rsidRPr="00001B20" w:rsidRDefault="00106747" w:rsidP="00106747">
      <w:pPr>
        <w:numPr>
          <w:ilvl w:val="0"/>
          <w:numId w:val="7"/>
        </w:numPr>
        <w:textAlignment w:val="baseline"/>
        <w:rPr>
          <w:color w:val="000000"/>
        </w:rPr>
      </w:pPr>
      <w:r w:rsidRPr="00001B20">
        <w:rPr>
          <w:color w:val="000000"/>
        </w:rPr>
        <w:t>KC to update the draft of the mentoring policy based upon today’s revisions and to circulate for consideration.</w:t>
      </w:r>
    </w:p>
    <w:p w:rsidR="00685683" w:rsidRDefault="00685683"/>
    <w:sectPr w:rsidR="00685683" w:rsidSect="0039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3849"/>
    <w:multiLevelType w:val="multilevel"/>
    <w:tmpl w:val="33D4B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681D80"/>
    <w:multiLevelType w:val="multilevel"/>
    <w:tmpl w:val="FF2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401E6"/>
    <w:multiLevelType w:val="hybridMultilevel"/>
    <w:tmpl w:val="FDE28E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6422A6"/>
    <w:multiLevelType w:val="hybridMultilevel"/>
    <w:tmpl w:val="CECA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9146E"/>
    <w:multiLevelType w:val="hybridMultilevel"/>
    <w:tmpl w:val="D6503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FC2D9C"/>
    <w:multiLevelType w:val="hybridMultilevel"/>
    <w:tmpl w:val="075A54E4"/>
    <w:lvl w:ilvl="0" w:tplc="020E1F78">
      <w:start w:val="4"/>
      <w:numFmt w:val="upperRoman"/>
      <w:lvlText w:val="%1."/>
      <w:lvlJc w:val="right"/>
      <w:pPr>
        <w:tabs>
          <w:tab w:val="num" w:pos="720"/>
        </w:tabs>
        <w:ind w:left="720" w:hanging="360"/>
      </w:pPr>
    </w:lvl>
    <w:lvl w:ilvl="1" w:tplc="C9289D4C" w:tentative="1">
      <w:start w:val="1"/>
      <w:numFmt w:val="decimal"/>
      <w:lvlText w:val="%2."/>
      <w:lvlJc w:val="left"/>
      <w:pPr>
        <w:tabs>
          <w:tab w:val="num" w:pos="1440"/>
        </w:tabs>
        <w:ind w:left="1440" w:hanging="360"/>
      </w:pPr>
    </w:lvl>
    <w:lvl w:ilvl="2" w:tplc="EA14B7AA" w:tentative="1">
      <w:start w:val="1"/>
      <w:numFmt w:val="decimal"/>
      <w:lvlText w:val="%3."/>
      <w:lvlJc w:val="left"/>
      <w:pPr>
        <w:tabs>
          <w:tab w:val="num" w:pos="2160"/>
        </w:tabs>
        <w:ind w:left="2160" w:hanging="360"/>
      </w:pPr>
    </w:lvl>
    <w:lvl w:ilvl="3" w:tplc="95123DB6" w:tentative="1">
      <w:start w:val="1"/>
      <w:numFmt w:val="decimal"/>
      <w:lvlText w:val="%4."/>
      <w:lvlJc w:val="left"/>
      <w:pPr>
        <w:tabs>
          <w:tab w:val="num" w:pos="2880"/>
        </w:tabs>
        <w:ind w:left="2880" w:hanging="360"/>
      </w:pPr>
    </w:lvl>
    <w:lvl w:ilvl="4" w:tplc="E17271F0" w:tentative="1">
      <w:start w:val="1"/>
      <w:numFmt w:val="decimal"/>
      <w:lvlText w:val="%5."/>
      <w:lvlJc w:val="left"/>
      <w:pPr>
        <w:tabs>
          <w:tab w:val="num" w:pos="3600"/>
        </w:tabs>
        <w:ind w:left="3600" w:hanging="360"/>
      </w:pPr>
    </w:lvl>
    <w:lvl w:ilvl="5" w:tplc="63FADB24" w:tentative="1">
      <w:start w:val="1"/>
      <w:numFmt w:val="decimal"/>
      <w:lvlText w:val="%6."/>
      <w:lvlJc w:val="left"/>
      <w:pPr>
        <w:tabs>
          <w:tab w:val="num" w:pos="4320"/>
        </w:tabs>
        <w:ind w:left="4320" w:hanging="360"/>
      </w:pPr>
    </w:lvl>
    <w:lvl w:ilvl="6" w:tplc="73CCC880" w:tentative="1">
      <w:start w:val="1"/>
      <w:numFmt w:val="decimal"/>
      <w:lvlText w:val="%7."/>
      <w:lvlJc w:val="left"/>
      <w:pPr>
        <w:tabs>
          <w:tab w:val="num" w:pos="5040"/>
        </w:tabs>
        <w:ind w:left="5040" w:hanging="360"/>
      </w:pPr>
    </w:lvl>
    <w:lvl w:ilvl="7" w:tplc="813EAB82" w:tentative="1">
      <w:start w:val="1"/>
      <w:numFmt w:val="decimal"/>
      <w:lvlText w:val="%8."/>
      <w:lvlJc w:val="left"/>
      <w:pPr>
        <w:tabs>
          <w:tab w:val="num" w:pos="5760"/>
        </w:tabs>
        <w:ind w:left="5760" w:hanging="360"/>
      </w:pPr>
    </w:lvl>
    <w:lvl w:ilvl="8" w:tplc="26B09B7C"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5"/>
  </w:num>
  <w:num w:numId="4">
    <w:abstractNumId w:val="5"/>
    <w:lvlOverride w:ilvl="0">
      <w:lvl w:ilvl="0" w:tplc="020E1F78">
        <w:numFmt w:val="upperRoman"/>
        <w:lvlText w:val="%1."/>
        <w:lvlJc w:val="right"/>
      </w:lvl>
    </w:lvlOverride>
  </w:num>
  <w:num w:numId="5">
    <w:abstractNumId w:val="5"/>
    <w:lvlOverride w:ilvl="0">
      <w:lvl w:ilvl="0" w:tplc="020E1F78">
        <w:numFmt w:val="upperRoman"/>
        <w:lvlText w:val="%1."/>
        <w:lvlJc w:val="right"/>
      </w:lvl>
    </w:lvlOverride>
  </w:num>
  <w:num w:numId="6">
    <w:abstractNumId w:val="5"/>
    <w:lvlOverride w:ilvl="0">
      <w:lvl w:ilvl="0" w:tplc="020E1F78">
        <w:numFmt w:val="upperRoman"/>
        <w:lvlText w:val="%1."/>
        <w:lvlJc w:val="right"/>
      </w:lvl>
    </w:lvlOverride>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47"/>
    <w:rsid w:val="00004DFD"/>
    <w:rsid w:val="00106747"/>
    <w:rsid w:val="00390568"/>
    <w:rsid w:val="0068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B4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open?id=1zvFw2Xpn-ARiYXjwnT7oxmruJ2VUanIL3tXiaytlRS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H6Uj2L-VutJNPvCfD84thOLzxbz_nhorgZqj257YU3E/edit" TargetMode="External"/><Relationship Id="rId7" Type="http://schemas.openxmlformats.org/officeDocument/2006/relationships/hyperlink" Target="https://drive.google.com/open?id=1Klvff_4ESdO25xpv1qxyEgVJL-UTlZXRaX6vUktnWVk" TargetMode="External"/><Relationship Id="rId8" Type="http://schemas.openxmlformats.org/officeDocument/2006/relationships/hyperlink" Target="https://drive.google.com/open?id=1ah1Bn-x_mTj5Nzr4selo9J4yqZ9MIEykd2nlT8teHj8" TargetMode="External"/><Relationship Id="rId9" Type="http://schemas.openxmlformats.org/officeDocument/2006/relationships/hyperlink" Target="https://drive.google.com/open?id=0B4wtUQYjpXJkZ3pJVE5aNXZpTUU" TargetMode="External"/><Relationship Id="rId10" Type="http://schemas.openxmlformats.org/officeDocument/2006/relationships/hyperlink" Target="https://drive.google.com/open?id=0B4wtUQYjpXJkZzNTX01sNUtXY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Macintosh Word</Application>
  <DocSecurity>0</DocSecurity>
  <Lines>20</Lines>
  <Paragraphs>5</Paragraphs>
  <ScaleCrop>false</ScaleCrop>
  <Company>UF</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McCardle</dc:creator>
  <cp:keywords/>
  <dc:description/>
  <cp:lastModifiedBy>Todd McCardle</cp:lastModifiedBy>
  <cp:revision>1</cp:revision>
  <dcterms:created xsi:type="dcterms:W3CDTF">2017-05-04T14:28:00Z</dcterms:created>
  <dcterms:modified xsi:type="dcterms:W3CDTF">2017-05-04T14:33:00Z</dcterms:modified>
</cp:coreProperties>
</file>